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F67" w14:textId="77777777"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19-100</w:t>
      </w:r>
      <w:r w:rsidR="00F76723" w:rsidRPr="006061AB">
        <w:rPr>
          <w:rFonts w:ascii="Times New Roman" w:hAnsi="Times New Roman"/>
          <w:sz w:val="22"/>
          <w:szCs w:val="22"/>
        </w:rPr>
        <w:tab/>
      </w:r>
      <w:r w:rsidR="00F76723" w:rsidRPr="006061AB">
        <w:rPr>
          <w:rFonts w:ascii="Times New Roman" w:hAnsi="Times New Roman"/>
          <w:sz w:val="22"/>
          <w:szCs w:val="22"/>
        </w:rPr>
        <w:tab/>
      </w:r>
      <w:r w:rsidRPr="006061AB">
        <w:rPr>
          <w:rFonts w:ascii="Times New Roman" w:hAnsi="Times New Roman"/>
          <w:b/>
          <w:bCs/>
          <w:sz w:val="22"/>
          <w:szCs w:val="22"/>
        </w:rPr>
        <w:t>DEPARTMENT OF ECONOMIC AND COMMUNITY DEVELOPMENT</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14999B1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44202705" w:rsidRPr="006061AB">
        <w:rPr>
          <w:rFonts w:ascii="Times New Roman" w:hAnsi="Times New Roman"/>
          <w:b/>
          <w:bCs/>
          <w:sz w:val="22"/>
          <w:szCs w:val="22"/>
        </w:rPr>
        <w:t>5</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20E8C8D8"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housing</w:t>
      </w:r>
      <w:r w:rsidR="2D67CC5A" w:rsidRPr="006061AB">
        <w:rPr>
          <w:rFonts w:ascii="Times New Roman" w:hAnsi="Times New Roman"/>
          <w:sz w:val="22"/>
          <w:szCs w:val="22"/>
        </w:rPr>
        <w:t>;</w:t>
      </w:r>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0DABD0A7"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Municipalities need not adopt this rule language or the statutory language in</w:t>
      </w:r>
      <w:r w:rsidR="00512475">
        <w:rPr>
          <w:rFonts w:ascii="Times New Roman" w:hAnsi="Times New Roman"/>
          <w:sz w:val="22"/>
          <w:szCs w:val="22"/>
        </w:rPr>
        <w:t xml:space="preserve"> 30-A M.R.S. §§ 4364 to 4364-B</w:t>
      </w:r>
      <w:r w:rsidRPr="006061AB">
        <w:rPr>
          <w:rFonts w:ascii="Times New Roman" w:hAnsi="Times New Roman"/>
          <w:sz w:val="22"/>
          <w:szCs w:val="22"/>
        </w:rPr>
        <w:t xml:space="preserve"> 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w:t>
      </w:r>
      <w:r w:rsidR="00512475">
        <w:rPr>
          <w:rFonts w:ascii="Times New Roman" w:hAnsi="Times New Roman"/>
          <w:sz w:val="22"/>
          <w:szCs w:val="22"/>
        </w:rPr>
        <w:t>30-A M.R.S. §§ 4364 to 4364-B</w:t>
      </w:r>
      <w:r w:rsidR="7BB2DCE5" w:rsidRPr="006061AB">
        <w:rPr>
          <w:rFonts w:ascii="Times New Roman" w:hAnsi="Times New Roman"/>
          <w:sz w:val="22"/>
          <w:szCs w:val="22"/>
        </w:rPr>
        <w:t>,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Maine</w:t>
      </w:r>
      <w:r w:rsidR="6755DE79" w:rsidRPr="006061AB">
        <w:rPr>
          <w:rFonts w:ascii="Times New Roman" w:hAnsi="Times New Roman"/>
          <w:sz w:val="22"/>
          <w:szCs w:val="22"/>
        </w:rPr>
        <w:t>;</w:t>
      </w:r>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Title 30-A Chapter 187 subchapter 4;</w:t>
      </w:r>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636BD6E3"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lastRenderedPageBreak/>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Title 38 Chapter 3 and municipal shoreland zoning ordinances</w:t>
      </w:r>
      <w:r w:rsidR="64DF632A" w:rsidRPr="006061AB">
        <w:rPr>
          <w:rFonts w:ascii="Times New Roman" w:hAnsi="Times New Roman"/>
          <w:sz w:val="22"/>
          <w:szCs w:val="22"/>
        </w:rPr>
        <w:t xml:space="preserve">; </w:t>
      </w:r>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226C4153" w:rsidR="2ABDAA05"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r w:rsidR="00205B4A">
        <w:rPr>
          <w:rFonts w:ascii="Times New Roman" w:hAnsi="Times New Roman"/>
          <w:sz w:val="22"/>
          <w:szCs w:val="22"/>
        </w:rPr>
        <w:t>; or</w:t>
      </w:r>
    </w:p>
    <w:p w14:paraId="2C6B80DB" w14:textId="77777777" w:rsidR="00E73EC2" w:rsidRPr="00B05A68" w:rsidRDefault="00E73EC2" w:rsidP="00B05A68">
      <w:pPr>
        <w:pStyle w:val="ListParagraph"/>
        <w:rPr>
          <w:rFonts w:ascii="Times New Roman" w:hAnsi="Times New Roman"/>
          <w:sz w:val="22"/>
          <w:szCs w:val="22"/>
        </w:rPr>
      </w:pPr>
    </w:p>
    <w:p w14:paraId="1D74FF1B" w14:textId="65FDA9F9" w:rsidR="00E73EC2" w:rsidRPr="006061AB" w:rsidRDefault="00E73EC2"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5E218EA2">
        <w:rPr>
          <w:rFonts w:ascii="Times New Roman" w:hAnsi="Times New Roman"/>
          <w:sz w:val="22"/>
          <w:szCs w:val="22"/>
        </w:rPr>
        <w:t xml:space="preserve">Apply to </w:t>
      </w:r>
      <w:r w:rsidR="00B94621" w:rsidRPr="5E218EA2">
        <w:rPr>
          <w:rFonts w:ascii="Times New Roman" w:hAnsi="Times New Roman"/>
          <w:sz w:val="22"/>
          <w:szCs w:val="22"/>
        </w:rPr>
        <w:t>a lot or portion of a lot that is within the watershed of a water source located in Lewiston or Auburn</w:t>
      </w:r>
      <w:r w:rsidR="000539FC" w:rsidRPr="5E218EA2">
        <w:rPr>
          <w:rFonts w:ascii="Times New Roman" w:hAnsi="Times New Roman"/>
          <w:sz w:val="22"/>
          <w:szCs w:val="22"/>
        </w:rPr>
        <w:t xml:space="preserve"> and that is used to provide drinking water by a water utility</w:t>
      </w:r>
      <w:r w:rsidR="00B94621" w:rsidRPr="5E218EA2">
        <w:rPr>
          <w:rFonts w:ascii="Times New Roman" w:hAnsi="Times New Roman"/>
          <w:sz w:val="22"/>
          <w:szCs w:val="22"/>
        </w:rPr>
        <w:t xml:space="preserve"> that has received a waiver from filtration pursuant to 40 C.F.R. §§ 141.7</w:t>
      </w:r>
      <w:r w:rsidR="004040A9" w:rsidRPr="5E218EA2">
        <w:rPr>
          <w:rFonts w:ascii="Times New Roman" w:hAnsi="Times New Roman"/>
          <w:sz w:val="22"/>
          <w:szCs w:val="22"/>
        </w:rPr>
        <w:t xml:space="preserve">0 to 141.76, as determined by the Maine Department of Health and Human Services. </w:t>
      </w:r>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5E218EA2">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to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means</w:t>
      </w:r>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2E72E732"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w:t>
      </w:r>
      <w:r w:rsidR="00305B38">
        <w:rPr>
          <w:rFonts w:ascii="Times New Roman" w:hAnsi="Times New Roman"/>
          <w:sz w:val="22"/>
          <w:szCs w:val="22"/>
        </w:rPr>
        <w:t xml:space="preserve"> in the development </w:t>
      </w:r>
      <w:r w:rsidRPr="006061AB">
        <w:rPr>
          <w:rFonts w:ascii="Times New Roman" w:hAnsi="Times New Roman"/>
          <w:sz w:val="22"/>
          <w:szCs w:val="22"/>
        </w:rPr>
        <w:t>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7A939DA4"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 </w:t>
      </w:r>
      <w:r w:rsidR="00305B38">
        <w:rPr>
          <w:rFonts w:ascii="Times New Roman" w:hAnsi="Times New Roman"/>
          <w:sz w:val="22"/>
          <w:szCs w:val="22"/>
        </w:rPr>
        <w:t xml:space="preserve">in the development </w:t>
      </w:r>
      <w:r w:rsidRPr="006061AB">
        <w:rPr>
          <w:rFonts w:ascii="Times New Roman" w:hAnsi="Times New Roman"/>
          <w:sz w:val="22"/>
          <w:szCs w:val="22"/>
        </w:rPr>
        <w:t xml:space="preserve">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2C4AA56F" w14:textId="46225E3C" w:rsidR="48746F28" w:rsidRPr="006061AB" w:rsidRDefault="48746F28" w:rsidP="001331EB">
      <w:pPr>
        <w:widowControl/>
        <w:tabs>
          <w:tab w:val="left" w:pos="720"/>
          <w:tab w:val="left" w:pos="1440"/>
          <w:tab w:val="left" w:pos="2160"/>
          <w:tab w:val="left" w:pos="2880"/>
          <w:tab w:val="left" w:pos="3600"/>
          <w:tab w:val="left" w:pos="4320"/>
        </w:tabs>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10AF574F" w:rsidR="005D7A2C" w:rsidRDefault="5B58CCF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Comprehensive plan.</w:t>
      </w:r>
      <w:r w:rsidRPr="5E218EA2">
        <w:rPr>
          <w:rFonts w:ascii="Times New Roman" w:hAnsi="Times New Roman"/>
          <w:color w:val="000000" w:themeColor="text1"/>
          <w:sz w:val="22"/>
          <w:szCs w:val="22"/>
        </w:rPr>
        <w:t xml:space="preserve"> </w:t>
      </w:r>
      <w:r w:rsidR="4F99721A" w:rsidRPr="5E218EA2">
        <w:rPr>
          <w:rFonts w:ascii="Times New Roman" w:hAnsi="Times New Roman"/>
          <w:color w:val="000000" w:themeColor="text1"/>
          <w:sz w:val="22"/>
          <w:szCs w:val="22"/>
        </w:rPr>
        <w:t xml:space="preserve">"Comprehensive plan" means a document or interrelated documents </w:t>
      </w:r>
      <w:r w:rsidR="402370AC" w:rsidRPr="5E218EA2">
        <w:rPr>
          <w:rFonts w:ascii="Times New Roman" w:hAnsi="Times New Roman"/>
          <w:color w:val="000000" w:themeColor="text1"/>
          <w:sz w:val="22"/>
          <w:szCs w:val="22"/>
        </w:rPr>
        <w:t xml:space="preserve">consistent with </w:t>
      </w:r>
      <w:r w:rsidR="4F99721A" w:rsidRPr="5E218EA2">
        <w:rPr>
          <w:rFonts w:ascii="Times New Roman" w:hAnsi="Times New Roman"/>
          <w:color w:val="000000" w:themeColor="text1"/>
          <w:sz w:val="22"/>
          <w:szCs w:val="22"/>
        </w:rPr>
        <w:t xml:space="preserve">30-A M.R.S. </w:t>
      </w:r>
      <w:r w:rsidR="4F99721A" w:rsidRPr="5E218EA2">
        <w:rPr>
          <w:rFonts w:ascii="Times New Roman" w:hAnsi="Times New Roman"/>
          <w:sz w:val="22"/>
          <w:szCs w:val="22"/>
        </w:rPr>
        <w:t>§</w:t>
      </w:r>
      <w:r w:rsidR="006C6584">
        <w:rPr>
          <w:rFonts w:ascii="Times New Roman" w:hAnsi="Times New Roman"/>
          <w:sz w:val="22"/>
          <w:szCs w:val="22"/>
        </w:rPr>
        <w:t xml:space="preserve"> </w:t>
      </w:r>
      <w:r w:rsidR="285CCBBA" w:rsidRPr="5E218EA2">
        <w:rPr>
          <w:rFonts w:ascii="Times New Roman" w:hAnsi="Times New Roman"/>
          <w:sz w:val="22"/>
          <w:szCs w:val="22"/>
        </w:rPr>
        <w:t>4326(1)-(4)</w:t>
      </w:r>
      <w:r w:rsidR="4F99721A" w:rsidRPr="5E218EA2">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5E218EA2">
        <w:rPr>
          <w:rFonts w:ascii="Times New Roman" w:hAnsi="Times New Roman"/>
          <w:color w:val="000000" w:themeColor="text1"/>
          <w:sz w:val="22"/>
          <w:szCs w:val="22"/>
        </w:rPr>
        <w:t>pursuant to Title 30-A Chapter 187 Subchapter II.</w:t>
      </w:r>
    </w:p>
    <w:p w14:paraId="27ADAF0C" w14:textId="252D930A"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D1850CF" w14:textId="5DF31D92" w:rsidR="059BF473" w:rsidRDefault="059BF473"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color w:val="000000" w:themeColor="text1"/>
          <w:sz w:val="22"/>
          <w:szCs w:val="22"/>
        </w:rPr>
        <w:t>Conditional use.</w:t>
      </w:r>
      <w:r w:rsidRPr="5E218EA2">
        <w:rPr>
          <w:rFonts w:ascii="Times New Roman" w:hAnsi="Times New Roman"/>
          <w:color w:val="000000" w:themeColor="text1"/>
          <w:sz w:val="22"/>
          <w:szCs w:val="22"/>
        </w:rPr>
        <w:t xml:space="preserve"> “Conditional use” means a use permitted</w:t>
      </w:r>
      <w:r w:rsidR="2272191E" w:rsidRPr="5E218EA2">
        <w:rPr>
          <w:rFonts w:ascii="Times New Roman" w:hAnsi="Times New Roman"/>
          <w:color w:val="000000" w:themeColor="text1"/>
          <w:sz w:val="22"/>
          <w:szCs w:val="22"/>
        </w:rPr>
        <w:t xml:space="preserve"> on a lot</w:t>
      </w:r>
      <w:r w:rsidR="118265AB" w:rsidRPr="5E218EA2">
        <w:rPr>
          <w:rFonts w:ascii="Times New Roman" w:hAnsi="Times New Roman"/>
          <w:color w:val="000000" w:themeColor="text1"/>
          <w:sz w:val="22"/>
          <w:szCs w:val="22"/>
        </w:rPr>
        <w:t xml:space="preserve"> in a zoning district</w:t>
      </w:r>
      <w:r w:rsidRPr="5E218EA2">
        <w:rPr>
          <w:rFonts w:ascii="Times New Roman" w:hAnsi="Times New Roman"/>
          <w:color w:val="000000" w:themeColor="text1"/>
          <w:sz w:val="22"/>
          <w:szCs w:val="22"/>
        </w:rPr>
        <w:t xml:space="preserve"> by a municipal</w:t>
      </w:r>
      <w:r w:rsidR="00CF1BEE">
        <w:rPr>
          <w:rFonts w:ascii="Times New Roman" w:hAnsi="Times New Roman"/>
          <w:color w:val="000000" w:themeColor="text1"/>
          <w:sz w:val="22"/>
          <w:szCs w:val="22"/>
        </w:rPr>
        <w:t xml:space="preserve"> legislative body</w:t>
      </w:r>
      <w:r w:rsidR="004D242E">
        <w:rPr>
          <w:rFonts w:ascii="Times New Roman" w:hAnsi="Times New Roman"/>
          <w:color w:val="000000" w:themeColor="text1"/>
          <w:sz w:val="22"/>
          <w:szCs w:val="22"/>
        </w:rPr>
        <w:t>,</w:t>
      </w:r>
      <w:r w:rsidR="3851EAD8" w:rsidRPr="5E218EA2">
        <w:rPr>
          <w:rFonts w:ascii="Times New Roman" w:hAnsi="Times New Roman"/>
          <w:color w:val="000000" w:themeColor="text1"/>
          <w:sz w:val="22"/>
          <w:szCs w:val="22"/>
        </w:rPr>
        <w:t xml:space="preserve"> </w:t>
      </w:r>
      <w:r w:rsidR="191CFC91" w:rsidRPr="5E218EA2">
        <w:rPr>
          <w:rFonts w:ascii="Times New Roman" w:hAnsi="Times New Roman"/>
          <w:color w:val="000000" w:themeColor="text1"/>
          <w:sz w:val="22"/>
          <w:szCs w:val="22"/>
        </w:rPr>
        <w:t>subject to certain conditions</w:t>
      </w:r>
      <w:r w:rsidR="781AE7CE" w:rsidRPr="5E218EA2">
        <w:rPr>
          <w:rFonts w:ascii="Times New Roman" w:hAnsi="Times New Roman"/>
          <w:color w:val="000000" w:themeColor="text1"/>
          <w:sz w:val="22"/>
          <w:szCs w:val="22"/>
        </w:rPr>
        <w:t xml:space="preserve"> not </w:t>
      </w:r>
      <w:r w:rsidR="50225598" w:rsidRPr="5E218EA2">
        <w:rPr>
          <w:rFonts w:ascii="Times New Roman" w:hAnsi="Times New Roman"/>
          <w:color w:val="000000" w:themeColor="text1"/>
          <w:sz w:val="22"/>
          <w:szCs w:val="22"/>
        </w:rPr>
        <w:t xml:space="preserve">generally </w:t>
      </w:r>
      <w:r w:rsidR="781AE7CE" w:rsidRPr="5E218EA2">
        <w:rPr>
          <w:rFonts w:ascii="Times New Roman" w:hAnsi="Times New Roman"/>
          <w:color w:val="000000" w:themeColor="text1"/>
          <w:sz w:val="22"/>
          <w:szCs w:val="22"/>
        </w:rPr>
        <w:t xml:space="preserve">applicable </w:t>
      </w:r>
      <w:r w:rsidR="07A47BB4" w:rsidRPr="5E218EA2">
        <w:rPr>
          <w:rFonts w:ascii="Times New Roman" w:hAnsi="Times New Roman"/>
          <w:color w:val="000000" w:themeColor="text1"/>
          <w:sz w:val="22"/>
          <w:szCs w:val="22"/>
        </w:rPr>
        <w:t xml:space="preserve">to other </w:t>
      </w:r>
      <w:r w:rsidR="6A6E3335" w:rsidRPr="5E218EA2">
        <w:rPr>
          <w:rFonts w:ascii="Times New Roman" w:hAnsi="Times New Roman"/>
          <w:color w:val="000000" w:themeColor="text1"/>
          <w:sz w:val="22"/>
          <w:szCs w:val="22"/>
        </w:rPr>
        <w:t xml:space="preserve">lots </w:t>
      </w:r>
      <w:r w:rsidR="07A47BB4" w:rsidRPr="5E218EA2">
        <w:rPr>
          <w:rFonts w:ascii="Times New Roman" w:hAnsi="Times New Roman"/>
          <w:color w:val="000000" w:themeColor="text1"/>
          <w:sz w:val="22"/>
          <w:szCs w:val="22"/>
        </w:rPr>
        <w:t>located in that zoning district</w:t>
      </w:r>
      <w:r w:rsidR="191CFC91" w:rsidRPr="5E218EA2">
        <w:rPr>
          <w:rFonts w:ascii="Times New Roman" w:hAnsi="Times New Roman"/>
          <w:color w:val="000000" w:themeColor="text1"/>
          <w:sz w:val="22"/>
          <w:szCs w:val="22"/>
        </w:rPr>
        <w:t xml:space="preserve">. </w:t>
      </w:r>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1EF82F38"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w:t>
      </w:r>
      <w:r w:rsidR="2C281EC3" w:rsidRPr="006061AB">
        <w:rPr>
          <w:rFonts w:ascii="Times New Roman" w:hAnsi="Times New Roman"/>
          <w:color w:val="000000" w:themeColor="text1"/>
          <w:sz w:val="22"/>
          <w:szCs w:val="22"/>
        </w:rPr>
        <w:lastRenderedPageBreak/>
        <w:t>“designated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Census as a census-designated place or a compact area of an urban compact municipality as defined by </w:t>
      </w:r>
      <w:r w:rsidR="5CAD537F" w:rsidRPr="006061AB">
        <w:rPr>
          <w:rFonts w:ascii="Times New Roman" w:hAnsi="Times New Roman"/>
          <w:color w:val="000000" w:themeColor="text1"/>
          <w:sz w:val="22"/>
          <w:szCs w:val="22"/>
        </w:rPr>
        <w:t>23 M.R.S. §</w:t>
      </w:r>
      <w:r w:rsidR="00F72E13">
        <w:rPr>
          <w:rFonts w:ascii="Times New Roman" w:hAnsi="Times New Roman"/>
          <w:color w:val="000000" w:themeColor="text1"/>
          <w:sz w:val="22"/>
          <w:szCs w:val="22"/>
        </w:rPr>
        <w:t xml:space="preserve"> </w:t>
      </w:r>
      <w:r w:rsidR="5CAD537F" w:rsidRPr="006061AB">
        <w:rPr>
          <w:rFonts w:ascii="Times New Roman" w:hAnsi="Times New Roman"/>
          <w:color w:val="000000" w:themeColor="text1"/>
          <w:sz w:val="22"/>
          <w:szCs w:val="22"/>
        </w:rPr>
        <w:t>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minimum frontage</w:t>
      </w:r>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54DC2B8" w14:textId="6F46D238" w:rsidR="632976A0" w:rsidRDefault="4A486AF8" w:rsidP="632976A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Duplex.</w:t>
      </w:r>
      <w:r w:rsidRPr="5E218EA2">
        <w:rPr>
          <w:rFonts w:ascii="Times New Roman" w:hAnsi="Times New Roman"/>
          <w:sz w:val="22"/>
          <w:szCs w:val="22"/>
        </w:rPr>
        <w:t xml:space="preserve"> </w:t>
      </w:r>
      <w:r w:rsidR="00CF1BEE">
        <w:rPr>
          <w:rFonts w:ascii="Times New Roman" w:hAnsi="Times New Roman"/>
          <w:sz w:val="22"/>
          <w:szCs w:val="22"/>
        </w:rPr>
        <w:t xml:space="preserve">“Duplex” means a structure containing two (2) dwelling units. </w:t>
      </w:r>
    </w:p>
    <w:p w14:paraId="1BA1C082"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79826574" w14:textId="1BB8CD1E"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632976A0">
        <w:rPr>
          <w:rFonts w:ascii="Times New Roman" w:hAnsi="Times New Roman"/>
          <w:b/>
          <w:bCs/>
          <w:sz w:val="22"/>
          <w:szCs w:val="22"/>
        </w:rPr>
        <w:t>Dwelling unit.</w:t>
      </w:r>
      <w:r w:rsidRPr="632976A0">
        <w:rPr>
          <w:rFonts w:ascii="Times New Roman" w:hAnsi="Times New Roman"/>
          <w:sz w:val="22"/>
          <w:szCs w:val="22"/>
        </w:rPr>
        <w:t xml:space="preserve"> </w:t>
      </w:r>
      <w:r w:rsidR="31952ED0" w:rsidRPr="632976A0">
        <w:rPr>
          <w:rFonts w:ascii="Times New Roman" w:hAnsi="Times New Roman"/>
          <w:sz w:val="22"/>
          <w:szCs w:val="22"/>
        </w:rPr>
        <w:t xml:space="preserve">“Dwelling unit” means </w:t>
      </w:r>
      <w:r w:rsidR="7E68055E" w:rsidRPr="632976A0">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64015D47" w14:textId="56BBA80F" w:rsidR="00C757FC" w:rsidRDefault="00C757FC" w:rsidP="00CF0732">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82B197E" w14:textId="0F38605E" w:rsidR="00C757FC" w:rsidRDefault="00C757F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C405CD">
        <w:rPr>
          <w:rFonts w:ascii="Times New Roman" w:hAnsi="Times New Roman"/>
          <w:b/>
          <w:bCs/>
          <w:color w:val="000000" w:themeColor="text1"/>
          <w:sz w:val="22"/>
          <w:szCs w:val="22"/>
        </w:rPr>
        <w:t>Implementation date</w:t>
      </w:r>
      <w:r>
        <w:rPr>
          <w:rFonts w:ascii="Times New Roman" w:hAnsi="Times New Roman"/>
          <w:color w:val="000000" w:themeColor="text1"/>
          <w:sz w:val="22"/>
          <w:szCs w:val="22"/>
        </w:rPr>
        <w:t xml:space="preserve">. “Implementation date” means: </w:t>
      </w:r>
    </w:p>
    <w:p w14:paraId="00D5B7F1"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D7CF6EF" w14:textId="75CC2562" w:rsidR="00C757FC" w:rsidRDefault="00C757FC" w:rsidP="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sidRPr="5E218EA2">
        <w:rPr>
          <w:rFonts w:ascii="Times New Roman" w:hAnsi="Times New Roman"/>
          <w:color w:val="000000" w:themeColor="text1"/>
          <w:sz w:val="22"/>
          <w:szCs w:val="22"/>
        </w:rPr>
        <w:t xml:space="preserve">January 1, 2024, for municipalities for which ordinances may be enacted by the municipal officers without further action or approval by the voters of the municipality; </w:t>
      </w:r>
      <w:r w:rsidR="00512475" w:rsidRPr="5E218EA2">
        <w:rPr>
          <w:rFonts w:ascii="Times New Roman" w:hAnsi="Times New Roman"/>
          <w:color w:val="000000" w:themeColor="text1"/>
          <w:sz w:val="22"/>
          <w:szCs w:val="22"/>
        </w:rPr>
        <w:t>and</w:t>
      </w:r>
      <w:r w:rsidRPr="5E218EA2">
        <w:rPr>
          <w:rFonts w:ascii="Times New Roman" w:hAnsi="Times New Roman"/>
          <w:color w:val="000000" w:themeColor="text1"/>
          <w:sz w:val="22"/>
          <w:szCs w:val="22"/>
        </w:rPr>
        <w:t xml:space="preserve"> </w:t>
      </w:r>
    </w:p>
    <w:p w14:paraId="7A0BF8A4" w14:textId="77777777" w:rsidR="00CF1BEE" w:rsidRDefault="00CF1BEE" w:rsidP="00CF1BEE">
      <w:pPr>
        <w:pStyle w:val="ListParagraph"/>
        <w:widowControl/>
        <w:tabs>
          <w:tab w:val="left" w:pos="720"/>
          <w:tab w:val="left" w:pos="1440"/>
          <w:tab w:val="left" w:pos="2160"/>
          <w:tab w:val="left" w:pos="2880"/>
          <w:tab w:val="left" w:pos="3600"/>
          <w:tab w:val="left" w:pos="4320"/>
        </w:tabs>
        <w:ind w:left="2520"/>
        <w:rPr>
          <w:rFonts w:ascii="Times New Roman" w:hAnsi="Times New Roman"/>
          <w:color w:val="000000" w:themeColor="text1"/>
          <w:sz w:val="22"/>
          <w:szCs w:val="22"/>
        </w:rPr>
      </w:pPr>
    </w:p>
    <w:p w14:paraId="6063E45E" w14:textId="00CD21B1" w:rsidR="00C757FC" w:rsidRDefault="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 xml:space="preserve">July 1, 2024, for all other municipalities. </w:t>
      </w:r>
    </w:p>
    <w:p w14:paraId="7A8EB602" w14:textId="77777777" w:rsidR="00E4283C" w:rsidRPr="000A7FD7" w:rsidRDefault="00E4283C" w:rsidP="000A7FD7">
      <w:pPr>
        <w:rPr>
          <w:rFonts w:ascii="Times New Roman" w:hAnsi="Times New Roman"/>
          <w:color w:val="000000" w:themeColor="text1"/>
          <w:sz w:val="22"/>
          <w:szCs w:val="22"/>
        </w:rPr>
      </w:pPr>
    </w:p>
    <w:p w14:paraId="3E33B09D" w14:textId="3747A529" w:rsidR="000E5501" w:rsidRDefault="000E5501" w:rsidP="000E5501">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For purposes of this definition</w:t>
      </w:r>
      <w:r w:rsidR="00A453EB">
        <w:rPr>
          <w:rFonts w:ascii="Times New Roman" w:hAnsi="Times New Roman"/>
          <w:color w:val="000000" w:themeColor="text1"/>
          <w:sz w:val="22"/>
          <w:szCs w:val="22"/>
        </w:rPr>
        <w:t>,</w:t>
      </w:r>
      <w:r>
        <w:rPr>
          <w:rFonts w:ascii="Times New Roman" w:hAnsi="Times New Roman"/>
          <w:color w:val="000000" w:themeColor="text1"/>
          <w:sz w:val="22"/>
          <w:szCs w:val="22"/>
        </w:rPr>
        <w:t xml:space="preserve"> “further action or approval by the voters of the municipality” means municipalities that have a town meeting form of government.</w:t>
      </w:r>
    </w:p>
    <w:p w14:paraId="1E0B08AC" w14:textId="2F82836B" w:rsidR="00F70C9A" w:rsidRDefault="00F70C9A" w:rsidP="00F70C9A">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 xml:space="preserve">Multifamily dwelling. </w:t>
      </w:r>
      <w:r w:rsidR="57696928" w:rsidRPr="5E218EA2">
        <w:rPr>
          <w:rFonts w:ascii="Times New Roman" w:hAnsi="Times New Roman"/>
          <w:sz w:val="22"/>
          <w:szCs w:val="22"/>
        </w:rPr>
        <w:t xml:space="preserve">“Multifamily dwelling” means </w:t>
      </w:r>
      <w:r w:rsidR="6BB3DA34" w:rsidRPr="5E218EA2">
        <w:rPr>
          <w:rFonts w:ascii="Times New Roman" w:hAnsi="Times New Roman"/>
          <w:sz w:val="22"/>
          <w:szCs w:val="22"/>
        </w:rPr>
        <w:t xml:space="preserve">a </w:t>
      </w:r>
      <w:r w:rsidR="72E1227A" w:rsidRPr="5E218EA2">
        <w:rPr>
          <w:rFonts w:ascii="Times New Roman" w:hAnsi="Times New Roman"/>
          <w:sz w:val="22"/>
          <w:szCs w:val="22"/>
        </w:rPr>
        <w:t>structure</w:t>
      </w:r>
      <w:r w:rsidR="6BB3DA34" w:rsidRPr="5E218EA2">
        <w:rPr>
          <w:rFonts w:ascii="Times New Roman" w:hAnsi="Times New Roman"/>
          <w:sz w:val="22"/>
          <w:szCs w:val="22"/>
        </w:rPr>
        <w:t xml:space="preserve"> containing three</w:t>
      </w:r>
      <w:r w:rsidR="7CCB1441" w:rsidRPr="5E218EA2">
        <w:rPr>
          <w:rFonts w:ascii="Times New Roman" w:hAnsi="Times New Roman"/>
          <w:sz w:val="22"/>
          <w:szCs w:val="22"/>
        </w:rPr>
        <w:t xml:space="preserve"> (3)</w:t>
      </w:r>
      <w:r w:rsidR="6BB3DA34" w:rsidRPr="5E218EA2">
        <w:rPr>
          <w:rFonts w:ascii="Times New Roman" w:hAnsi="Times New Roman"/>
          <w:sz w:val="22"/>
          <w:szCs w:val="22"/>
        </w:rPr>
        <w:t xml:space="preserve"> or more dwelling units.</w:t>
      </w:r>
    </w:p>
    <w:p w14:paraId="58AA6E97" w14:textId="5D51ACB8"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887E2B" w14:textId="3C49F0BA" w:rsidR="5E8A5427" w:rsidRDefault="57BE9DAC" w:rsidP="000A7FD7">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 xml:space="preserve">Municipality. </w:t>
      </w:r>
      <w:r w:rsidRPr="5E218EA2">
        <w:rPr>
          <w:rFonts w:ascii="Times New Roman" w:hAnsi="Times New Roman"/>
          <w:color w:val="000000" w:themeColor="text1"/>
          <w:sz w:val="22"/>
          <w:szCs w:val="22"/>
        </w:rPr>
        <w:t xml:space="preserve">“Municipality” means a city or a town, excluding all unorganized and </w:t>
      </w:r>
      <w:proofErr w:type="spellStart"/>
      <w:r w:rsidRPr="5E218EA2">
        <w:rPr>
          <w:rFonts w:ascii="Times New Roman" w:hAnsi="Times New Roman"/>
          <w:color w:val="000000" w:themeColor="text1"/>
          <w:sz w:val="22"/>
          <w:szCs w:val="22"/>
        </w:rPr>
        <w:t>deorganized</w:t>
      </w:r>
      <w:proofErr w:type="spellEnd"/>
      <w:r w:rsidRPr="5E218EA2">
        <w:rPr>
          <w:rFonts w:ascii="Times New Roman" w:hAnsi="Times New Roman"/>
          <w:color w:val="000000" w:themeColor="text1"/>
          <w:sz w:val="22"/>
          <w:szCs w:val="22"/>
        </w:rPr>
        <w:t xml:space="preserve"> townships, plantations, and towns that have delegated administration of land use controls to the Maine Land Use Planning Commission pursuant to 12 M.R.S. §</w:t>
      </w:r>
      <w:r w:rsidR="00783B48">
        <w:rPr>
          <w:rFonts w:ascii="Times New Roman" w:hAnsi="Times New Roman"/>
          <w:color w:val="000000" w:themeColor="text1"/>
          <w:sz w:val="22"/>
          <w:szCs w:val="22"/>
        </w:rPr>
        <w:t> </w:t>
      </w:r>
      <w:r w:rsidRPr="5E218EA2">
        <w:rPr>
          <w:rFonts w:ascii="Times New Roman" w:hAnsi="Times New Roman"/>
          <w:color w:val="000000" w:themeColor="text1"/>
          <w:sz w:val="22"/>
          <w:szCs w:val="22"/>
        </w:rPr>
        <w:t>682(1).</w:t>
      </w:r>
    </w:p>
    <w:p w14:paraId="68B6E5C6" w14:textId="77777777" w:rsidR="00CF0583" w:rsidRPr="006061AB" w:rsidRDefault="00CF0583" w:rsidP="000A7FD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w:t>
      </w:r>
      <w:r w:rsidR="6F53CA28" w:rsidRPr="00CB2AC9">
        <w:rPr>
          <w:rFonts w:ascii="Times New Roman" w:hAnsi="Times New Roman"/>
          <w:i/>
          <w:iCs/>
          <w:sz w:val="22"/>
          <w:szCs w:val="22"/>
        </w:rPr>
        <w:lastRenderedPageBreak/>
        <w:t xml:space="preserve">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Principal structure.</w:t>
      </w:r>
      <w:r w:rsidRPr="5E218EA2">
        <w:rPr>
          <w:rFonts w:ascii="Times New Roman" w:hAnsi="Times New Roman"/>
          <w:sz w:val="22"/>
          <w:szCs w:val="22"/>
        </w:rPr>
        <w:t xml:space="preserve"> "Principal structure" means a</w:t>
      </w:r>
      <w:r w:rsidR="006061AB" w:rsidRPr="5E218EA2">
        <w:rPr>
          <w:rFonts w:ascii="Times New Roman" w:hAnsi="Times New Roman"/>
          <w:sz w:val="22"/>
          <w:szCs w:val="22"/>
        </w:rPr>
        <w:t xml:space="preserve"> </w:t>
      </w:r>
      <w:r w:rsidRPr="5E218EA2">
        <w:rPr>
          <w:rFonts w:ascii="Times New Roman" w:hAnsi="Times New Roman"/>
          <w:sz w:val="22"/>
          <w:szCs w:val="22"/>
        </w:rPr>
        <w:t xml:space="preserve">structure in which the main </w:t>
      </w:r>
      <w:r w:rsidR="72A8A62D" w:rsidRPr="5E218EA2">
        <w:rPr>
          <w:rFonts w:ascii="Times New Roman" w:hAnsi="Times New Roman"/>
          <w:sz w:val="22"/>
          <w:szCs w:val="22"/>
        </w:rPr>
        <w:t>or primary use</w:t>
      </w:r>
      <w:r w:rsidRPr="5E218EA2">
        <w:rPr>
          <w:rFonts w:ascii="Times New Roman" w:hAnsi="Times New Roman"/>
          <w:sz w:val="22"/>
          <w:szCs w:val="22"/>
        </w:rPr>
        <w:t xml:space="preserve"> of the </w:t>
      </w:r>
      <w:r w:rsidR="3471EFC5" w:rsidRPr="5E218EA2">
        <w:rPr>
          <w:rFonts w:ascii="Times New Roman" w:hAnsi="Times New Roman"/>
          <w:sz w:val="22"/>
          <w:szCs w:val="22"/>
        </w:rPr>
        <w:t>structure</w:t>
      </w:r>
      <w:r w:rsidR="0C66926C" w:rsidRPr="5E218EA2">
        <w:rPr>
          <w:rFonts w:ascii="Times New Roman" w:hAnsi="Times New Roman"/>
          <w:sz w:val="22"/>
          <w:szCs w:val="22"/>
        </w:rPr>
        <w:t xml:space="preserve"> is conducted</w:t>
      </w:r>
      <w:r w:rsidRPr="5E218EA2">
        <w:rPr>
          <w:rFonts w:ascii="Times New Roman" w:hAnsi="Times New Roman"/>
          <w:sz w:val="22"/>
          <w:szCs w:val="22"/>
        </w:rPr>
        <w:t xml:space="preserve">. </w:t>
      </w:r>
      <w:r w:rsidR="3FC9A36F" w:rsidRPr="5E218EA2">
        <w:rPr>
          <w:rFonts w:ascii="Times New Roman" w:hAnsi="Times New Roman"/>
          <w:sz w:val="22"/>
          <w:szCs w:val="22"/>
        </w:rPr>
        <w:t xml:space="preserve">For purposes of this rule, principal structure does not </w:t>
      </w:r>
      <w:r w:rsidR="00231ECE" w:rsidRPr="5E218EA2">
        <w:rPr>
          <w:rFonts w:ascii="Times New Roman" w:hAnsi="Times New Roman"/>
          <w:sz w:val="22"/>
          <w:szCs w:val="22"/>
        </w:rPr>
        <w:t>include</w:t>
      </w:r>
      <w:r w:rsidR="3FC9A36F" w:rsidRPr="5E218EA2">
        <w:rPr>
          <w:rFonts w:ascii="Times New Roman" w:hAnsi="Times New Roman"/>
          <w:sz w:val="22"/>
          <w:szCs w:val="22"/>
        </w:rPr>
        <w:t xml:space="preserve"> commercial buildings.</w:t>
      </w:r>
    </w:p>
    <w:p w14:paraId="19A0D81F" w14:textId="780AE7F1" w:rsidR="24D662DD" w:rsidRDefault="24D662DD"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570F306" w14:textId="3AF105BB" w:rsidR="000412C7"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0412C7">
        <w:rPr>
          <w:rFonts w:ascii="Times New Roman" w:hAnsi="Times New Roman"/>
          <w:b/>
          <w:bCs/>
          <w:sz w:val="22"/>
          <w:szCs w:val="22"/>
        </w:rPr>
        <w:t>Quadplex</w:t>
      </w:r>
      <w:r>
        <w:rPr>
          <w:rFonts w:ascii="Times New Roman" w:hAnsi="Times New Roman"/>
          <w:sz w:val="22"/>
          <w:szCs w:val="22"/>
        </w:rPr>
        <w:t xml:space="preserve">. “Quadplex” means a structure containing 4 (four) dwelling units. </w:t>
      </w:r>
    </w:p>
    <w:p w14:paraId="17A62103" w14:textId="77777777" w:rsidR="000412C7" w:rsidRPr="006061AB"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0FEBAB9" w14:textId="07C2A494" w:rsidR="004D242E" w:rsidRDefault="1FF28341"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sz w:val="22"/>
          <w:szCs w:val="22"/>
        </w:rPr>
        <w:t>Residential use.</w:t>
      </w:r>
      <w:r w:rsidRPr="5E218EA2">
        <w:rPr>
          <w:rFonts w:ascii="Times New Roman" w:hAnsi="Times New Roman"/>
          <w:sz w:val="22"/>
          <w:szCs w:val="22"/>
        </w:rPr>
        <w:t xml:space="preserve"> “Residential use” </w:t>
      </w:r>
      <w:r w:rsidR="262B3769" w:rsidRPr="5E218EA2">
        <w:rPr>
          <w:rFonts w:ascii="Times New Roman" w:hAnsi="Times New Roman"/>
          <w:sz w:val="22"/>
          <w:szCs w:val="22"/>
        </w:rPr>
        <w:t>means a use</w:t>
      </w:r>
      <w:r w:rsidR="00CF1BEE">
        <w:rPr>
          <w:rFonts w:ascii="Times New Roman" w:hAnsi="Times New Roman"/>
          <w:sz w:val="22"/>
          <w:szCs w:val="22"/>
        </w:rPr>
        <w:t xml:space="preserve"> permitted in an area by a municipal legislative body </w:t>
      </w:r>
      <w:r w:rsidR="262B3769" w:rsidRPr="5E218EA2">
        <w:rPr>
          <w:rFonts w:ascii="Times New Roman" w:hAnsi="Times New Roman"/>
          <w:sz w:val="22"/>
          <w:szCs w:val="22"/>
        </w:rPr>
        <w:t xml:space="preserve">to be </w:t>
      </w:r>
      <w:r w:rsidR="380A7A02" w:rsidRPr="5E218EA2">
        <w:rPr>
          <w:rFonts w:ascii="Times New Roman" w:hAnsi="Times New Roman"/>
          <w:sz w:val="22"/>
          <w:szCs w:val="22"/>
        </w:rPr>
        <w:t>used for</w:t>
      </w:r>
      <w:r w:rsidR="6991358F" w:rsidRPr="5E218EA2">
        <w:rPr>
          <w:rFonts w:ascii="Times New Roman" w:hAnsi="Times New Roman"/>
          <w:sz w:val="22"/>
          <w:szCs w:val="22"/>
        </w:rPr>
        <w:t xml:space="preserve"> human habitation</w:t>
      </w:r>
      <w:r w:rsidR="00EE6586">
        <w:rPr>
          <w:rFonts w:ascii="Times New Roman" w:hAnsi="Times New Roman"/>
          <w:sz w:val="22"/>
          <w:szCs w:val="22"/>
        </w:rPr>
        <w:t xml:space="preserve">. Residential uses may include </w:t>
      </w:r>
      <w:r w:rsidR="150149D8" w:rsidRPr="5E218EA2">
        <w:rPr>
          <w:rFonts w:ascii="Times New Roman" w:hAnsi="Times New Roman"/>
          <w:color w:val="000000" w:themeColor="text1"/>
          <w:sz w:val="22"/>
          <w:szCs w:val="22"/>
        </w:rPr>
        <w:t>single-family</w:t>
      </w:r>
      <w:r w:rsidR="00F77574">
        <w:rPr>
          <w:rFonts w:ascii="Times New Roman" w:hAnsi="Times New Roman"/>
          <w:color w:val="000000" w:themeColor="text1"/>
          <w:sz w:val="22"/>
          <w:szCs w:val="22"/>
        </w:rPr>
        <w:t>, duplex, triplex, quadplex,</w:t>
      </w:r>
      <w:r w:rsidR="150149D8" w:rsidRPr="5E218EA2">
        <w:rPr>
          <w:rFonts w:ascii="Times New Roman" w:hAnsi="Times New Roman"/>
          <w:color w:val="000000" w:themeColor="text1"/>
          <w:sz w:val="22"/>
          <w:szCs w:val="22"/>
        </w:rPr>
        <w:t xml:space="preserve"> and </w:t>
      </w:r>
      <w:r w:rsidR="00F77574">
        <w:rPr>
          <w:rFonts w:ascii="Times New Roman" w:hAnsi="Times New Roman"/>
          <w:color w:val="000000" w:themeColor="text1"/>
          <w:sz w:val="22"/>
          <w:szCs w:val="22"/>
        </w:rPr>
        <w:t xml:space="preserve">other </w:t>
      </w:r>
      <w:r w:rsidR="150149D8" w:rsidRPr="5E218EA2">
        <w:rPr>
          <w:rFonts w:ascii="Times New Roman" w:hAnsi="Times New Roman"/>
          <w:color w:val="000000" w:themeColor="text1"/>
          <w:sz w:val="22"/>
          <w:szCs w:val="22"/>
        </w:rPr>
        <w:t>multifamily housing</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condominiums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time-share units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and apartments</w:t>
      </w:r>
      <w:r w:rsidR="69C60C7C" w:rsidRPr="5E218EA2">
        <w:rPr>
          <w:rFonts w:ascii="Times New Roman" w:hAnsi="Times New Roman"/>
          <w:color w:val="000000" w:themeColor="text1"/>
          <w:sz w:val="22"/>
          <w:szCs w:val="22"/>
        </w:rPr>
        <w:t>.</w:t>
      </w:r>
      <w:r w:rsidR="00CF1BEE">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For purposes of this rule, th</w:t>
      </w:r>
      <w:r w:rsidR="004D242E">
        <w:rPr>
          <w:rFonts w:ascii="Times New Roman" w:hAnsi="Times New Roman"/>
          <w:color w:val="000000" w:themeColor="text1"/>
          <w:sz w:val="22"/>
          <w:szCs w:val="22"/>
        </w:rPr>
        <w:t>e following uses are not included under this definition, unless otherwise allowed in local ordinance: (1) D</w:t>
      </w:r>
      <w:r w:rsidR="004D242E" w:rsidRPr="5E218EA2">
        <w:rPr>
          <w:rFonts w:ascii="Times New Roman" w:hAnsi="Times New Roman"/>
          <w:color w:val="000000" w:themeColor="text1"/>
          <w:sz w:val="22"/>
          <w:szCs w:val="22"/>
        </w:rPr>
        <w:t>ormitories</w:t>
      </w:r>
      <w:r w:rsidR="00F855CE">
        <w:rPr>
          <w:rFonts w:ascii="Times New Roman" w:hAnsi="Times New Roman"/>
          <w:color w:val="000000" w:themeColor="text1"/>
          <w:sz w:val="22"/>
          <w:szCs w:val="22"/>
        </w:rPr>
        <w:t>;</w:t>
      </w:r>
      <w:r w:rsidR="003F64B6">
        <w:rPr>
          <w:rFonts w:ascii="Times New Roman" w:hAnsi="Times New Roman"/>
          <w:color w:val="000000" w:themeColor="text1"/>
          <w:sz w:val="22"/>
          <w:szCs w:val="22"/>
        </w:rPr>
        <w:t xml:space="preserve"> </w:t>
      </w:r>
      <w:r w:rsidR="005861AF">
        <w:rPr>
          <w:rFonts w:ascii="Times New Roman" w:hAnsi="Times New Roman"/>
          <w:color w:val="000000" w:themeColor="text1"/>
          <w:sz w:val="22"/>
          <w:szCs w:val="22"/>
        </w:rPr>
        <w:t xml:space="preserve">(2) </w:t>
      </w:r>
      <w:r w:rsidR="00B42D86">
        <w:rPr>
          <w:rFonts w:ascii="Times New Roman" w:hAnsi="Times New Roman"/>
          <w:color w:val="000000" w:themeColor="text1"/>
          <w:sz w:val="22"/>
          <w:szCs w:val="22"/>
        </w:rPr>
        <w:t>Congregate living facilities;</w:t>
      </w:r>
      <w:r w:rsidR="00CB451C">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w:t>
      </w:r>
      <w:r w:rsidR="00B42D86">
        <w:rPr>
          <w:rFonts w:ascii="Times New Roman" w:hAnsi="Times New Roman"/>
          <w:color w:val="000000" w:themeColor="text1"/>
          <w:sz w:val="22"/>
          <w:szCs w:val="22"/>
        </w:rPr>
        <w:t>3</w:t>
      </w:r>
      <w:r w:rsidR="004D242E" w:rsidRPr="5E218EA2">
        <w:rPr>
          <w:rFonts w:ascii="Times New Roman" w:hAnsi="Times New Roman"/>
          <w:color w:val="000000" w:themeColor="text1"/>
          <w:sz w:val="22"/>
          <w:szCs w:val="22"/>
        </w:rPr>
        <w:t>)</w:t>
      </w:r>
      <w:r w:rsidR="004D242E">
        <w:rPr>
          <w:rFonts w:ascii="Times New Roman" w:hAnsi="Times New Roman"/>
          <w:color w:val="000000" w:themeColor="text1"/>
          <w:sz w:val="22"/>
          <w:szCs w:val="22"/>
        </w:rPr>
        <w:t xml:space="preserve"> Campgrounds, campsites, hotels, motels, beds and breakfasts, or other types of lodging accommodations</w:t>
      </w:r>
      <w:r w:rsidR="004D242E" w:rsidRPr="5E218EA2">
        <w:rPr>
          <w:rFonts w:ascii="Times New Roman" w:hAnsi="Times New Roman"/>
          <w:color w:val="000000" w:themeColor="text1"/>
          <w:sz w:val="22"/>
          <w:szCs w:val="22"/>
        </w:rPr>
        <w:t>; and (</w:t>
      </w:r>
      <w:r w:rsidR="00B42D86">
        <w:rPr>
          <w:rFonts w:ascii="Times New Roman" w:hAnsi="Times New Roman"/>
          <w:color w:val="000000" w:themeColor="text1"/>
          <w:sz w:val="22"/>
          <w:szCs w:val="22"/>
        </w:rPr>
        <w:t>4</w:t>
      </w:r>
      <w:r w:rsidR="004D242E" w:rsidRPr="5E218EA2">
        <w:rPr>
          <w:rFonts w:ascii="Times New Roman" w:hAnsi="Times New Roman"/>
          <w:color w:val="000000" w:themeColor="text1"/>
          <w:sz w:val="22"/>
          <w:szCs w:val="22"/>
        </w:rPr>
        <w:t>) Transient housing or short-term rentals</w:t>
      </w:r>
      <w:r w:rsidR="004D242E">
        <w:rPr>
          <w:rFonts w:ascii="Times New Roman" w:hAnsi="Times New Roman"/>
          <w:color w:val="000000" w:themeColor="text1"/>
          <w:sz w:val="22"/>
          <w:szCs w:val="22"/>
        </w:rPr>
        <w:t>.</w:t>
      </w:r>
    </w:p>
    <w:p w14:paraId="7C61D45E" w14:textId="77777777" w:rsidR="004D242E" w:rsidRDefault="004D242E"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4B7C137" w14:textId="20BFE285" w:rsidR="24D662DD" w:rsidRPr="006061AB" w:rsidRDefault="3B19909E"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Restrictive covenant</w:t>
      </w:r>
      <w:r w:rsidRPr="5E218EA2">
        <w:rPr>
          <w:rFonts w:ascii="Times New Roman" w:hAnsi="Times New Roman"/>
          <w:sz w:val="22"/>
          <w:szCs w:val="22"/>
        </w:rPr>
        <w:t xml:space="preserve">. </w:t>
      </w:r>
      <w:r w:rsidR="16E2209A" w:rsidRPr="5E218EA2">
        <w:rPr>
          <w:rFonts w:ascii="Times New Roman" w:hAnsi="Times New Roman"/>
          <w:sz w:val="22"/>
          <w:szCs w:val="22"/>
        </w:rPr>
        <w:t>“</w:t>
      </w:r>
      <w:r w:rsidR="618D2B66" w:rsidRPr="5E218EA2">
        <w:rPr>
          <w:rFonts w:ascii="Times New Roman" w:hAnsi="Times New Roman"/>
          <w:sz w:val="22"/>
          <w:szCs w:val="22"/>
        </w:rPr>
        <w:t>R</w:t>
      </w:r>
      <w:r w:rsidR="16E2209A" w:rsidRPr="5E218EA2">
        <w:rPr>
          <w:rFonts w:ascii="Times New Roman" w:hAnsi="Times New Roman"/>
          <w:sz w:val="22"/>
          <w:szCs w:val="22"/>
        </w:rPr>
        <w:t>estrictive covenant</w:t>
      </w:r>
      <w:r w:rsidR="36D4E434" w:rsidRPr="5E218EA2">
        <w:rPr>
          <w:rFonts w:ascii="Times New Roman" w:hAnsi="Times New Roman"/>
          <w:sz w:val="22"/>
          <w:szCs w:val="22"/>
        </w:rPr>
        <w:t xml:space="preserve">” </w:t>
      </w:r>
      <w:r w:rsidR="2C0F15E3" w:rsidRPr="5E218EA2">
        <w:rPr>
          <w:rFonts w:ascii="Times New Roman" w:hAnsi="Times New Roman"/>
          <w:sz w:val="22"/>
          <w:szCs w:val="22"/>
        </w:rPr>
        <w:t>means</w:t>
      </w:r>
      <w:r w:rsidR="4D832A84" w:rsidRPr="5E218EA2">
        <w:rPr>
          <w:rFonts w:ascii="Times New Roman" w:hAnsi="Times New Roman"/>
          <w:sz w:val="22"/>
          <w:szCs w:val="22"/>
        </w:rPr>
        <w:t xml:space="preserve"> a provision in a deed</w:t>
      </w:r>
      <w:r w:rsidR="1FDC9F23" w:rsidRPr="5E218EA2">
        <w:rPr>
          <w:rFonts w:ascii="Times New Roman" w:hAnsi="Times New Roman"/>
          <w:sz w:val="22"/>
          <w:szCs w:val="22"/>
        </w:rPr>
        <w:t>,</w:t>
      </w:r>
      <w:r w:rsidR="36951CEC" w:rsidRPr="5E218EA2">
        <w:rPr>
          <w:rFonts w:ascii="Times New Roman" w:hAnsi="Times New Roman"/>
          <w:sz w:val="22"/>
          <w:szCs w:val="22"/>
        </w:rPr>
        <w:t xml:space="preserve"> or other covenant</w:t>
      </w:r>
      <w:r w:rsidR="2CB1E0DC" w:rsidRPr="5E218EA2">
        <w:rPr>
          <w:rFonts w:ascii="Times New Roman" w:hAnsi="Times New Roman"/>
          <w:sz w:val="22"/>
          <w:szCs w:val="22"/>
        </w:rPr>
        <w:t xml:space="preserve"> conveying real property</w:t>
      </w:r>
      <w:r w:rsidR="638EBFB7" w:rsidRPr="5E218EA2">
        <w:rPr>
          <w:rFonts w:ascii="Times New Roman" w:hAnsi="Times New Roman"/>
          <w:sz w:val="22"/>
          <w:szCs w:val="22"/>
        </w:rPr>
        <w:t>,</w:t>
      </w:r>
      <w:r w:rsidR="4D832A84" w:rsidRPr="5E218EA2">
        <w:rPr>
          <w:rFonts w:ascii="Times New Roman" w:hAnsi="Times New Roman"/>
          <w:sz w:val="22"/>
          <w:szCs w:val="22"/>
        </w:rPr>
        <w:t xml:space="preserve"> </w:t>
      </w:r>
      <w:r w:rsidR="2A06F454" w:rsidRPr="5E218EA2">
        <w:rPr>
          <w:rFonts w:ascii="Times New Roman" w:hAnsi="Times New Roman"/>
          <w:sz w:val="22"/>
          <w:szCs w:val="22"/>
        </w:rPr>
        <w:t>restricting the use of the land</w:t>
      </w:r>
      <w:r w:rsidR="4DBD1CB3" w:rsidRPr="5E218EA2">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sz w:val="22"/>
          <w:szCs w:val="22"/>
        </w:rPr>
        <w:t>Structure.</w:t>
      </w:r>
      <w:r w:rsidRPr="5E218EA2">
        <w:rPr>
          <w:rFonts w:ascii="Times New Roman" w:hAnsi="Times New Roman"/>
          <w:sz w:val="22"/>
          <w:szCs w:val="22"/>
        </w:rPr>
        <w:t xml:space="preserve"> </w:t>
      </w:r>
      <w:r w:rsidR="4F1ACACE" w:rsidRPr="5E218EA2">
        <w:rPr>
          <w:rFonts w:ascii="Times New Roman" w:hAnsi="Times New Roman"/>
          <w:sz w:val="22"/>
          <w:szCs w:val="22"/>
        </w:rPr>
        <w:t>“Structure”</w:t>
      </w:r>
      <w:r w:rsidR="58727891" w:rsidRPr="5E218EA2">
        <w:rPr>
          <w:rFonts w:ascii="Times New Roman" w:hAnsi="Times New Roman"/>
          <w:sz w:val="22"/>
          <w:szCs w:val="22"/>
        </w:rPr>
        <w:t xml:space="preserve"> </w:t>
      </w:r>
      <w:r w:rsidR="58727891" w:rsidRPr="5E218EA2">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5E218EA2">
        <w:rPr>
          <w:rFonts w:ascii="Times New Roman" w:hAnsi="Times New Roman"/>
          <w:color w:val="000000" w:themeColor="text1"/>
          <w:sz w:val="22"/>
          <w:szCs w:val="22"/>
        </w:rPr>
        <w:t xml:space="preserve"> as defined in 38</w:t>
      </w:r>
      <w:r w:rsidR="00043AF5" w:rsidRPr="5E218EA2">
        <w:rPr>
          <w:rFonts w:ascii="Times New Roman" w:hAnsi="Times New Roman"/>
          <w:color w:val="000000" w:themeColor="text1"/>
          <w:sz w:val="22"/>
          <w:szCs w:val="22"/>
        </w:rPr>
        <w:t> </w:t>
      </w:r>
      <w:r w:rsidR="6EFB07BA" w:rsidRPr="5E218EA2">
        <w:rPr>
          <w:rFonts w:ascii="Times New Roman" w:hAnsi="Times New Roman"/>
          <w:color w:val="000000" w:themeColor="text1"/>
          <w:sz w:val="22"/>
          <w:szCs w:val="22"/>
        </w:rPr>
        <w:t xml:space="preserve">M.R.S. </w:t>
      </w:r>
      <w:r w:rsidR="6EFB07BA" w:rsidRPr="5E218EA2">
        <w:rPr>
          <w:rFonts w:ascii="Times New Roman" w:hAnsi="Times New Roman"/>
          <w:sz w:val="22"/>
          <w:szCs w:val="22"/>
        </w:rPr>
        <w:t>§</w:t>
      </w:r>
      <w:r w:rsidR="6EFB07BA" w:rsidRPr="5E218EA2">
        <w:rPr>
          <w:rFonts w:ascii="Times New Roman" w:hAnsi="Times New Roman"/>
          <w:color w:val="000000" w:themeColor="text1"/>
          <w:sz w:val="22"/>
          <w:szCs w:val="22"/>
        </w:rPr>
        <w:t>436-A(12)</w:t>
      </w:r>
      <w:r w:rsidR="00014B38" w:rsidRPr="5E218EA2">
        <w:rPr>
          <w:rFonts w:ascii="Times New Roman" w:hAnsi="Times New Roman"/>
          <w:color w:val="000000" w:themeColor="text1"/>
          <w:sz w:val="22"/>
          <w:szCs w:val="22"/>
        </w:rPr>
        <w:t>.</w:t>
      </w:r>
    </w:p>
    <w:p w14:paraId="74BAF02C" w14:textId="7E506D4E"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5150C28" w14:textId="59BA096D" w:rsidR="7E25147B" w:rsidRDefault="7E25147B"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Triplex.</w:t>
      </w:r>
      <w:r w:rsidRPr="5E218EA2">
        <w:rPr>
          <w:rFonts w:ascii="Times New Roman" w:hAnsi="Times New Roman"/>
          <w:sz w:val="22"/>
          <w:szCs w:val="22"/>
        </w:rPr>
        <w:t xml:space="preserve"> “Triplex” means a structure containing three (3) dwelling units.  </w:t>
      </w:r>
    </w:p>
    <w:p w14:paraId="3DA16A16" w14:textId="5F5B3F39" w:rsidR="5E8A5427" w:rsidRPr="006061AB" w:rsidRDefault="5E8A5427" w:rsidP="00AD7F64">
      <w:pPr>
        <w:widowControl/>
        <w:tabs>
          <w:tab w:val="left" w:pos="720"/>
          <w:tab w:val="left" w:pos="1440"/>
          <w:tab w:val="left" w:pos="2160"/>
          <w:tab w:val="left" w:pos="2880"/>
          <w:tab w:val="left" w:pos="3600"/>
          <w:tab w:val="left" w:pos="4320"/>
        </w:tabs>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5BE462BC"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sz w:val="22"/>
          <w:szCs w:val="22"/>
        </w:rPr>
        <w:t xml:space="preserve">This </w:t>
      </w:r>
      <w:r w:rsidR="55CD36AE" w:rsidRPr="5E218EA2">
        <w:rPr>
          <w:rFonts w:ascii="Times New Roman" w:hAnsi="Times New Roman"/>
          <w:sz w:val="22"/>
          <w:szCs w:val="22"/>
        </w:rPr>
        <w:t>S</w:t>
      </w:r>
      <w:r w:rsidRPr="5E218EA2">
        <w:rPr>
          <w:rFonts w:ascii="Times New Roman" w:hAnsi="Times New Roman"/>
          <w:sz w:val="22"/>
          <w:szCs w:val="22"/>
        </w:rPr>
        <w:t xml:space="preserve">ection requires municipalities to allow an automatic density bonus for certain affordable housing developments </w:t>
      </w:r>
      <w:r w:rsidR="3453D442" w:rsidRPr="5E218EA2">
        <w:rPr>
          <w:rFonts w:ascii="Times New Roman" w:hAnsi="Times New Roman"/>
          <w:sz w:val="22"/>
          <w:szCs w:val="22"/>
        </w:rPr>
        <w:t xml:space="preserve">approved on or after </w:t>
      </w:r>
      <w:r w:rsidR="00C757FC" w:rsidRPr="5E218EA2">
        <w:rPr>
          <w:rFonts w:ascii="Times New Roman" w:hAnsi="Times New Roman"/>
          <w:sz w:val="22"/>
          <w:szCs w:val="22"/>
        </w:rPr>
        <w:t>the implementation date</w:t>
      </w:r>
      <w:r w:rsidR="3453D442" w:rsidRPr="5E218EA2">
        <w:rPr>
          <w:rFonts w:ascii="Times New Roman" w:hAnsi="Times New Roman"/>
          <w:sz w:val="22"/>
          <w:szCs w:val="22"/>
        </w:rPr>
        <w:t>, a</w:t>
      </w:r>
      <w:r w:rsidR="180A6931" w:rsidRPr="5E218EA2">
        <w:rPr>
          <w:rFonts w:ascii="Times New Roman" w:hAnsi="Times New Roman"/>
          <w:sz w:val="22"/>
          <w:szCs w:val="22"/>
        </w:rPr>
        <w:t xml:space="preserve">s </w:t>
      </w:r>
      <w:r w:rsidR="3453D442" w:rsidRPr="5E218EA2">
        <w:rPr>
          <w:rFonts w:ascii="Times New Roman" w:hAnsi="Times New Roman"/>
          <w:sz w:val="22"/>
          <w:szCs w:val="22"/>
        </w:rPr>
        <w:t>outlined below.</w:t>
      </w:r>
      <w:r w:rsidR="00124B62" w:rsidRPr="5E218EA2">
        <w:rPr>
          <w:rFonts w:ascii="Times New Roman" w:hAnsi="Times New Roman"/>
          <w:sz w:val="22"/>
          <w:szCs w:val="22"/>
        </w:rPr>
        <w:t xml:space="preserve"> </w:t>
      </w:r>
      <w:r w:rsidR="4C80CF82" w:rsidRPr="5E218EA2">
        <w:rPr>
          <w:rFonts w:ascii="Times New Roman" w:hAnsi="Times New Roman"/>
          <w:sz w:val="22"/>
          <w:szCs w:val="22"/>
        </w:rPr>
        <w:t xml:space="preserve">This section only applies to </w:t>
      </w:r>
      <w:r w:rsidR="49D03985" w:rsidRPr="5E218EA2">
        <w:rPr>
          <w:rFonts w:ascii="Times New Roman" w:hAnsi="Times New Roman"/>
          <w:sz w:val="22"/>
          <w:szCs w:val="22"/>
        </w:rPr>
        <w:t xml:space="preserve">lots in </w:t>
      </w:r>
      <w:r w:rsidR="1B064A6F" w:rsidRPr="5E218EA2">
        <w:rPr>
          <w:rFonts w:ascii="Times New Roman" w:hAnsi="Times New Roman"/>
          <w:sz w:val="22"/>
          <w:szCs w:val="22"/>
        </w:rPr>
        <w:t xml:space="preserve">zoning </w:t>
      </w:r>
      <w:r w:rsidR="4C80CF82" w:rsidRPr="5E218EA2">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affordable</w:t>
      </w:r>
      <w:r w:rsidR="0AFFD95E" w:rsidRPr="006061AB">
        <w:rPr>
          <w:rFonts w:ascii="Times New Roman" w:hAnsi="Times New Roman"/>
          <w:sz w:val="22"/>
          <w:szCs w:val="22"/>
        </w:rPr>
        <w:t>;</w:t>
      </w:r>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system;</w:t>
      </w:r>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ordinance</w:t>
      </w:r>
      <w:r w:rsidRPr="006061AB">
        <w:rPr>
          <w:rFonts w:ascii="Times New Roman" w:hAnsi="Times New Roman"/>
          <w:sz w:val="22"/>
          <w:szCs w:val="22"/>
        </w:rPr>
        <w:t>;</w:t>
      </w:r>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45BA1A79" w:rsidRPr="006061AB">
        <w:rPr>
          <w:rFonts w:ascii="Times New Roman" w:hAnsi="Times New Roman"/>
          <w:sz w:val="22"/>
          <w:szCs w:val="22"/>
        </w:rPr>
        <w:t>If a housing unit is connected to a public, special district or other comparable sewer system, proof of adequate service to support any additional flow created by the unit and proof of payment for the connection to the sewer system;</w:t>
      </w:r>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7539BA53"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5E218EA2">
        <w:rPr>
          <w:rFonts w:ascii="Times New Roman" w:hAnsi="Times New Roman"/>
          <w:sz w:val="22"/>
          <w:szCs w:val="22"/>
        </w:rPr>
        <w:t xml:space="preserve">Prior </w:t>
      </w:r>
      <w:r w:rsidR="00FF7A62" w:rsidRPr="5E218EA2">
        <w:rPr>
          <w:rFonts w:ascii="Times New Roman" w:hAnsi="Times New Roman"/>
          <w:sz w:val="22"/>
          <w:szCs w:val="22"/>
        </w:rPr>
        <w:t>to granting</w:t>
      </w:r>
      <w:r w:rsidR="30FC8F9C" w:rsidRPr="5E218EA2">
        <w:rPr>
          <w:rFonts w:ascii="Times New Roman" w:hAnsi="Times New Roman"/>
          <w:sz w:val="22"/>
          <w:szCs w:val="22"/>
        </w:rPr>
        <w:t xml:space="preserve"> </w:t>
      </w:r>
      <w:r w:rsidR="73A2E48B" w:rsidRPr="5E218EA2">
        <w:rPr>
          <w:rFonts w:ascii="Times New Roman" w:hAnsi="Times New Roman"/>
          <w:sz w:val="22"/>
          <w:szCs w:val="22"/>
        </w:rPr>
        <w:t xml:space="preserve">final approval of </w:t>
      </w:r>
      <w:r w:rsidRPr="5E218EA2">
        <w:rPr>
          <w:rFonts w:ascii="Times New Roman" w:hAnsi="Times New Roman"/>
          <w:sz w:val="22"/>
          <w:szCs w:val="22"/>
        </w:rPr>
        <w:t>an affordable housing development,</w:t>
      </w:r>
      <w:r w:rsidR="18AFBC73" w:rsidRPr="5E218EA2">
        <w:rPr>
          <w:rFonts w:ascii="Times New Roman" w:hAnsi="Times New Roman"/>
          <w:sz w:val="22"/>
          <w:szCs w:val="22"/>
        </w:rPr>
        <w:t xml:space="preserve"> including but not limited to issuing an occupancy permit,</w:t>
      </w:r>
      <w:r w:rsidRPr="5E218EA2">
        <w:rPr>
          <w:rFonts w:ascii="Times New Roman" w:hAnsi="Times New Roman"/>
          <w:sz w:val="22"/>
          <w:szCs w:val="22"/>
        </w:rPr>
        <w:t xml:space="preserve"> a municipality must </w:t>
      </w:r>
      <w:r w:rsidR="49D2B53C" w:rsidRPr="5E218EA2">
        <w:rPr>
          <w:rFonts w:ascii="Times New Roman" w:hAnsi="Times New Roman"/>
          <w:sz w:val="22"/>
          <w:szCs w:val="22"/>
        </w:rPr>
        <w:t>require</w:t>
      </w:r>
      <w:r w:rsidRPr="5E218EA2">
        <w:rPr>
          <w:rFonts w:ascii="Times New Roman" w:hAnsi="Times New Roman"/>
          <w:sz w:val="22"/>
          <w:szCs w:val="22"/>
        </w:rPr>
        <w:t xml:space="preserve"> that </w:t>
      </w:r>
      <w:r w:rsidRPr="5E218EA2">
        <w:rPr>
          <w:rFonts w:ascii="Times New Roman" w:hAnsi="Times New Roman"/>
          <w:sz w:val="22"/>
          <w:szCs w:val="22"/>
        </w:rPr>
        <w:lastRenderedPageBreak/>
        <w:t>the owner of the affordable housing development</w:t>
      </w:r>
      <w:r w:rsidR="00CC25C1" w:rsidRPr="5E218EA2">
        <w:rPr>
          <w:rFonts w:ascii="Times New Roman" w:hAnsi="Times New Roman"/>
          <w:sz w:val="22"/>
          <w:szCs w:val="22"/>
        </w:rPr>
        <w:t xml:space="preserve"> </w:t>
      </w:r>
      <w:r w:rsidR="2CFDE69A" w:rsidRPr="5E218EA2">
        <w:rPr>
          <w:rFonts w:ascii="Times New Roman" w:hAnsi="Times New Roman"/>
          <w:sz w:val="22"/>
          <w:szCs w:val="22"/>
        </w:rPr>
        <w:t xml:space="preserve">(1) </w:t>
      </w:r>
      <w:r w:rsidR="0C314108" w:rsidRPr="5E218EA2">
        <w:rPr>
          <w:rFonts w:ascii="Times New Roman" w:hAnsi="Times New Roman"/>
          <w:sz w:val="22"/>
          <w:szCs w:val="22"/>
        </w:rPr>
        <w:t xml:space="preserve">execute </w:t>
      </w:r>
      <w:r w:rsidR="00D20E35" w:rsidRPr="5E218EA2">
        <w:rPr>
          <w:rFonts w:ascii="Times New Roman" w:hAnsi="Times New Roman"/>
          <w:sz w:val="22"/>
          <w:szCs w:val="22"/>
        </w:rPr>
        <w:t>a restrictive</w:t>
      </w:r>
      <w:r w:rsidR="0C314108" w:rsidRPr="5E218EA2">
        <w:rPr>
          <w:rFonts w:ascii="Times New Roman" w:hAnsi="Times New Roman"/>
          <w:sz w:val="22"/>
          <w:szCs w:val="22"/>
        </w:rPr>
        <w:t xml:space="preserve"> covenant</w:t>
      </w:r>
      <w:r w:rsidR="476EA069" w:rsidRPr="5E218EA2">
        <w:rPr>
          <w:rFonts w:ascii="Times New Roman" w:hAnsi="Times New Roman"/>
          <w:sz w:val="22"/>
          <w:szCs w:val="22"/>
        </w:rPr>
        <w:t xml:space="preserve"> that is enforceable by a party acceptable to the municipality</w:t>
      </w:r>
      <w:r w:rsidR="02C17E98" w:rsidRPr="5E218EA2">
        <w:rPr>
          <w:rFonts w:ascii="Times New Roman" w:hAnsi="Times New Roman"/>
          <w:sz w:val="22"/>
          <w:szCs w:val="22"/>
        </w:rPr>
        <w:t>;</w:t>
      </w:r>
      <w:r w:rsidR="476EA069" w:rsidRPr="5E218EA2">
        <w:rPr>
          <w:rFonts w:ascii="Times New Roman" w:hAnsi="Times New Roman"/>
          <w:sz w:val="22"/>
          <w:szCs w:val="22"/>
        </w:rPr>
        <w:t xml:space="preserve"> and</w:t>
      </w:r>
      <w:r w:rsidR="525A1441" w:rsidRPr="5E218EA2">
        <w:rPr>
          <w:rFonts w:ascii="Times New Roman" w:hAnsi="Times New Roman"/>
          <w:sz w:val="22"/>
          <w:szCs w:val="22"/>
        </w:rPr>
        <w:t xml:space="preserve"> (2) </w:t>
      </w:r>
      <w:r w:rsidR="0C314108" w:rsidRPr="5E218EA2">
        <w:rPr>
          <w:rFonts w:ascii="Times New Roman" w:hAnsi="Times New Roman"/>
          <w:sz w:val="22"/>
          <w:szCs w:val="22"/>
        </w:rPr>
        <w:t>record the restrictive covenant</w:t>
      </w:r>
      <w:r w:rsidR="5B008F7A" w:rsidRPr="5E218EA2">
        <w:rPr>
          <w:rFonts w:ascii="Times New Roman" w:hAnsi="Times New Roman"/>
          <w:sz w:val="22"/>
          <w:szCs w:val="22"/>
        </w:rPr>
        <w:t xml:space="preserve"> in the appropriate registry of deeds</w:t>
      </w:r>
      <w:r w:rsidR="22D448DD" w:rsidRPr="5E218EA2">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759E6E08" w:rsidR="10B25ACF" w:rsidRDefault="10B25ACF"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Local regulation that chooses to round up shall be considered consistent with and not more restrictive than this 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294F401" w14:textId="77777777" w:rsidR="00D328B0" w:rsidRPr="006061AB" w:rsidRDefault="00D328B0" w:rsidP="00CF0583">
      <w:pPr>
        <w:widowControl/>
        <w:tabs>
          <w:tab w:val="left" w:pos="720"/>
          <w:tab w:val="left" w:pos="1440"/>
          <w:tab w:val="left" w:pos="2160"/>
          <w:tab w:val="left" w:pos="2880"/>
          <w:tab w:val="left" w:pos="3600"/>
          <w:tab w:val="left" w:pos="4320"/>
        </w:tabs>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36237DF6"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206AD64">
        <w:rPr>
          <w:rFonts w:ascii="Times New Roman" w:hAnsi="Times New Roman"/>
          <w:sz w:val="22"/>
          <w:szCs w:val="22"/>
        </w:rPr>
        <w:t xml:space="preserve">This section requires municipalities to allow multiple dwelling units on lots </w:t>
      </w:r>
      <w:r w:rsidR="00802F74" w:rsidRPr="0206AD64">
        <w:rPr>
          <w:rFonts w:ascii="Times New Roman" w:hAnsi="Times New Roman"/>
          <w:sz w:val="22"/>
          <w:szCs w:val="22"/>
        </w:rPr>
        <w:t>where residential</w:t>
      </w:r>
      <w:r w:rsidR="78AFDC6D" w:rsidRPr="0206AD64">
        <w:rPr>
          <w:rFonts w:ascii="Times New Roman" w:hAnsi="Times New Roman"/>
          <w:sz w:val="22"/>
          <w:szCs w:val="22"/>
        </w:rPr>
        <w:t xml:space="preserve"> uses are</w:t>
      </w:r>
      <w:r w:rsidR="04CD0F8E" w:rsidRPr="0206AD64">
        <w:rPr>
          <w:rFonts w:ascii="Times New Roman" w:hAnsi="Times New Roman"/>
          <w:sz w:val="22"/>
          <w:szCs w:val="22"/>
        </w:rPr>
        <w:t xml:space="preserve"> allowed</w:t>
      </w:r>
      <w:r w:rsidR="78AFDC6D" w:rsidRPr="0206AD64">
        <w:rPr>
          <w:rFonts w:ascii="Times New Roman" w:hAnsi="Times New Roman"/>
          <w:sz w:val="22"/>
          <w:szCs w:val="22"/>
        </w:rPr>
        <w:t>, including as a condition</w:t>
      </w:r>
      <w:r w:rsidR="50DA2F70" w:rsidRPr="0206AD64">
        <w:rPr>
          <w:rFonts w:ascii="Times New Roman" w:hAnsi="Times New Roman"/>
          <w:sz w:val="22"/>
          <w:szCs w:val="22"/>
        </w:rPr>
        <w:t>al</w:t>
      </w:r>
      <w:r w:rsidR="78AFDC6D" w:rsidRPr="0206AD64">
        <w:rPr>
          <w:rFonts w:ascii="Times New Roman" w:hAnsi="Times New Roman"/>
          <w:sz w:val="22"/>
          <w:szCs w:val="22"/>
        </w:rPr>
        <w:t xml:space="preserve"> use,</w:t>
      </w:r>
      <w:r w:rsidR="00802F74">
        <w:rPr>
          <w:rFonts w:ascii="Times New Roman" w:hAnsi="Times New Roman"/>
          <w:sz w:val="22"/>
          <w:szCs w:val="22"/>
        </w:rPr>
        <w:t xml:space="preserve"> </w:t>
      </w:r>
      <w:r w:rsidRPr="0206AD64">
        <w:rPr>
          <w:rFonts w:ascii="Times New Roman" w:hAnsi="Times New Roman"/>
          <w:sz w:val="22"/>
          <w:szCs w:val="22"/>
        </w:rPr>
        <w:t xml:space="preserve">beginning on </w:t>
      </w:r>
      <w:r w:rsidR="00C757FC" w:rsidRPr="0206AD64">
        <w:rPr>
          <w:rFonts w:ascii="Times New Roman" w:hAnsi="Times New Roman"/>
          <w:sz w:val="22"/>
          <w:szCs w:val="22"/>
        </w:rPr>
        <w:t>the implementation date</w:t>
      </w:r>
      <w:r w:rsidRPr="0206AD64">
        <w:rPr>
          <w:rFonts w:ascii="Times New Roman" w:hAnsi="Times New Roman"/>
          <w:sz w:val="22"/>
          <w:szCs w:val="22"/>
        </w:rPr>
        <w:t>, subject to the requirements below. The requirements listed in Section 3 apply to municipalities with and without zoning. Private, state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is</w:t>
      </w:r>
      <w:r w:rsidR="7AF67011" w:rsidRPr="006061AB">
        <w:rPr>
          <w:rFonts w:ascii="Times New Roman" w:hAnsi="Times New Roman"/>
          <w:sz w:val="22"/>
          <w:szCs w:val="22"/>
        </w:rPr>
        <w:t xml:space="preserve"> located in an area 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lastRenderedPageBreak/>
        <w:t>i</w:t>
      </w:r>
      <w:proofErr w:type="spellEnd"/>
      <w:r>
        <w:rPr>
          <w:rFonts w:ascii="Times New Roman" w:hAnsi="Times New Roman"/>
          <w:sz w:val="22"/>
          <w:szCs w:val="22"/>
        </w:rPr>
        <w:t>.</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public, special district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proofErr w:type="spellStart"/>
      <w:r w:rsidR="782BE7B9" w:rsidRPr="006061AB">
        <w:rPr>
          <w:rFonts w:ascii="Times New Roman" w:hAnsi="Times New Roman"/>
          <w:sz w:val="22"/>
          <w:szCs w:val="22"/>
        </w:rPr>
        <w:t>i</w:t>
      </w:r>
      <w:proofErr w:type="spellEnd"/>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within one structure</w:t>
      </w:r>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4B3DA78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ithin the existing structure or attached to the existing structure;</w:t>
      </w:r>
    </w:p>
    <w:p w14:paraId="17507BC6" w14:textId="77777777" w:rsidR="004D242E" w:rsidRDefault="004D242E"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312BC7D5" w14:textId="1887AABB"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27AD805B" w14:textId="77777777" w:rsidR="004D242E" w:rsidRPr="006061AB" w:rsidRDefault="004D242E"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4D242E">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as a result of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2E7696B1"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w:t>
      </w:r>
      <w:r w:rsidR="00C757FC">
        <w:rPr>
          <w:rFonts w:ascii="Times New Roman" w:hAnsi="Times New Roman"/>
          <w:sz w:val="22"/>
          <w:szCs w:val="22"/>
        </w:rPr>
        <w:t>the implementation date</w:t>
      </w:r>
      <w:r w:rsidR="48F239BE" w:rsidRPr="006061AB">
        <w:rPr>
          <w:rFonts w:ascii="Times New Roman" w:hAnsi="Times New Roman"/>
          <w:sz w:val="22"/>
          <w:szCs w:val="22"/>
        </w:rPr>
        <w:t xml:space="preserve"> is torn down and an empty lot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376632E5"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 municipal ordinance may not establish dimensional requirements</w:t>
      </w:r>
      <w:r w:rsidR="537D821B" w:rsidRPr="0206AD64">
        <w:rPr>
          <w:rFonts w:ascii="Times New Roman" w:hAnsi="Times New Roman"/>
          <w:sz w:val="22"/>
          <w:szCs w:val="22"/>
        </w:rPr>
        <w:t>, including but not limited to</w:t>
      </w:r>
      <w:r w:rsidR="1EDEFC8A" w:rsidRPr="0206AD64">
        <w:rPr>
          <w:rFonts w:ascii="Times New Roman" w:hAnsi="Times New Roman"/>
          <w:sz w:val="22"/>
          <w:szCs w:val="22"/>
        </w:rPr>
        <w:t xml:space="preserve"> setback requirements</w:t>
      </w:r>
      <w:r w:rsidR="4371F4BF" w:rsidRPr="0206AD64">
        <w:rPr>
          <w:rFonts w:ascii="Times New Roman" w:hAnsi="Times New Roman"/>
          <w:sz w:val="22"/>
          <w:szCs w:val="22"/>
        </w:rPr>
        <w:t>,</w:t>
      </w:r>
      <w:r w:rsidRPr="0206AD64">
        <w:rPr>
          <w:rFonts w:ascii="Times New Roman" w:hAnsi="Times New Roman"/>
          <w:sz w:val="22"/>
          <w:szCs w:val="22"/>
        </w:rPr>
        <w:t xml:space="preserve"> for dwelling units allowed </w:t>
      </w:r>
      <w:r w:rsidR="0147624F" w:rsidRPr="0206AD64">
        <w:rPr>
          <w:rFonts w:ascii="Times New Roman" w:hAnsi="Times New Roman"/>
          <w:sz w:val="22"/>
          <w:szCs w:val="22"/>
        </w:rPr>
        <w:t>pursuant to</w:t>
      </w:r>
      <w:r w:rsidRPr="0206AD64">
        <w:rPr>
          <w:rFonts w:ascii="Times New Roman" w:hAnsi="Times New Roman"/>
          <w:sz w:val="22"/>
          <w:szCs w:val="22"/>
        </w:rPr>
        <w:t xml:space="preserve"> this </w:t>
      </w:r>
      <w:r w:rsidR="2F5C0ABB" w:rsidRPr="0206AD64">
        <w:rPr>
          <w:rFonts w:ascii="Times New Roman" w:hAnsi="Times New Roman"/>
          <w:sz w:val="22"/>
          <w:szCs w:val="22"/>
        </w:rPr>
        <w:t>S</w:t>
      </w:r>
      <w:r w:rsidRPr="0206AD64">
        <w:rPr>
          <w:rFonts w:ascii="Times New Roman" w:hAnsi="Times New Roman"/>
          <w:sz w:val="22"/>
          <w:szCs w:val="22"/>
        </w:rPr>
        <w:t xml:space="preserve">ection that are </w:t>
      </w:r>
      <w:r w:rsidR="5D0A3C35" w:rsidRPr="0206AD64">
        <w:rPr>
          <w:rFonts w:ascii="Times New Roman" w:hAnsi="Times New Roman"/>
          <w:sz w:val="22"/>
          <w:szCs w:val="22"/>
        </w:rPr>
        <w:t>more restrictive</w:t>
      </w:r>
      <w:r w:rsidRPr="0206AD64">
        <w:rPr>
          <w:rFonts w:ascii="Times New Roman" w:hAnsi="Times New Roman"/>
          <w:sz w:val="22"/>
          <w:szCs w:val="22"/>
        </w:rPr>
        <w:t xml:space="preserve"> than </w:t>
      </w:r>
      <w:r w:rsidR="184ABDE3" w:rsidRPr="0206AD64">
        <w:rPr>
          <w:rFonts w:ascii="Times New Roman" w:hAnsi="Times New Roman"/>
          <w:sz w:val="22"/>
          <w:szCs w:val="22"/>
        </w:rPr>
        <w:t xml:space="preserve">the </w:t>
      </w:r>
      <w:r w:rsidRPr="0206AD64">
        <w:rPr>
          <w:rFonts w:ascii="Times New Roman" w:hAnsi="Times New Roman"/>
          <w:sz w:val="22"/>
          <w:szCs w:val="22"/>
        </w:rPr>
        <w:lastRenderedPageBreak/>
        <w:t>dimensional</w:t>
      </w:r>
      <w:r w:rsidR="709A874C" w:rsidRPr="0206AD64">
        <w:rPr>
          <w:rFonts w:ascii="Times New Roman" w:hAnsi="Times New Roman"/>
          <w:sz w:val="22"/>
          <w:szCs w:val="22"/>
        </w:rPr>
        <w:t xml:space="preserve"> requirements</w:t>
      </w:r>
      <w:r w:rsidR="27348216" w:rsidRPr="0206AD64">
        <w:rPr>
          <w:rFonts w:ascii="Times New Roman" w:hAnsi="Times New Roman"/>
          <w:sz w:val="22"/>
          <w:szCs w:val="22"/>
        </w:rPr>
        <w:t>, including but not limited to</w:t>
      </w:r>
      <w:r w:rsidR="54FAB3F6" w:rsidRPr="0206AD64">
        <w:rPr>
          <w:rFonts w:ascii="Times New Roman" w:hAnsi="Times New Roman"/>
          <w:sz w:val="22"/>
          <w:szCs w:val="22"/>
        </w:rPr>
        <w:t xml:space="preserve"> setback </w:t>
      </w:r>
      <w:r w:rsidRPr="0206AD64">
        <w:rPr>
          <w:rFonts w:ascii="Times New Roman" w:hAnsi="Times New Roman"/>
          <w:sz w:val="22"/>
          <w:szCs w:val="22"/>
        </w:rPr>
        <w:t>requirements</w:t>
      </w:r>
      <w:r w:rsidR="0F466750" w:rsidRPr="0206AD64">
        <w:rPr>
          <w:rFonts w:ascii="Times New Roman" w:hAnsi="Times New Roman"/>
          <w:sz w:val="22"/>
          <w:szCs w:val="22"/>
        </w:rPr>
        <w:t>,</w:t>
      </w:r>
      <w:r w:rsidRPr="0206AD64">
        <w:rPr>
          <w:rFonts w:ascii="Times New Roman" w:hAnsi="Times New Roman"/>
          <w:sz w:val="22"/>
          <w:szCs w:val="22"/>
        </w:rPr>
        <w:t xml:space="preserve"> for single</w:t>
      </w:r>
      <w:r w:rsidR="67867D83" w:rsidRPr="0206AD64">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0B95FD4" w14:textId="71C88DD3" w:rsidR="00305B38" w:rsidRDefault="67867D83"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lot area per dwelling unit as long as the</w:t>
      </w:r>
      <w:r w:rsidR="24184656" w:rsidRPr="006061AB">
        <w:rPr>
          <w:rFonts w:ascii="Times New Roman" w:hAnsi="Times New Roman"/>
          <w:sz w:val="22"/>
          <w:szCs w:val="22"/>
        </w:rPr>
        <w:t xml:space="preserve"> additional </w:t>
      </w:r>
      <w:r w:rsidR="00305B38">
        <w:rPr>
          <w:rFonts w:ascii="Times New Roman" w:hAnsi="Times New Roman"/>
          <w:sz w:val="22"/>
          <w:szCs w:val="22"/>
        </w:rPr>
        <w:t>lot area</w:t>
      </w:r>
      <w:r w:rsidR="24184656" w:rsidRPr="006061AB">
        <w:rPr>
          <w:rFonts w:ascii="Times New Roman" w:hAnsi="Times New Roman"/>
          <w:sz w:val="22"/>
          <w:szCs w:val="22"/>
        </w:rPr>
        <w:t xml:space="preserve"> </w:t>
      </w:r>
      <w:r w:rsidR="54B3A2EE" w:rsidRPr="006061AB">
        <w:rPr>
          <w:rFonts w:ascii="Times New Roman" w:hAnsi="Times New Roman"/>
          <w:sz w:val="22"/>
          <w:szCs w:val="22"/>
        </w:rPr>
        <w:t>required for each additional dwelling unit is proportional to the lot area per dwelling unit of the first unit.</w:t>
      </w:r>
    </w:p>
    <w:p w14:paraId="3A73DE7A" w14:textId="77777777" w:rsidR="00305B38" w:rsidRDefault="00305B38" w:rsidP="00305B38">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6AC2DD86" w:rsidR="5BC08D67" w:rsidRPr="00305B38" w:rsidRDefault="7A7A757F"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305B38">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 system;</w:t>
      </w:r>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dwelling units</w:t>
      </w:r>
      <w:r w:rsidRPr="006061AB">
        <w:rPr>
          <w:rFonts w:ascii="Times New Roman" w:hAnsi="Times New Roman"/>
          <w:sz w:val="22"/>
          <w:szCs w:val="22"/>
        </w:rPr>
        <w:t>;</w:t>
      </w:r>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t>
      </w:r>
      <w:r w:rsidRPr="006061AB">
        <w:rPr>
          <w:rFonts w:ascii="Times New Roman" w:hAnsi="Times New Roman"/>
          <w:sz w:val="22"/>
          <w:szCs w:val="22"/>
        </w:rPr>
        <w:lastRenderedPageBreak/>
        <w:t xml:space="preserve">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2A496269"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206AD64">
        <w:rPr>
          <w:rFonts w:ascii="Times New Roman" w:hAnsi="Times New Roman"/>
          <w:sz w:val="22"/>
          <w:szCs w:val="22"/>
        </w:rPr>
        <w:t>A municipality must allow</w:t>
      </w:r>
      <w:r w:rsidR="6669E447" w:rsidRPr="0206AD64">
        <w:rPr>
          <w:rFonts w:ascii="Times New Roman" w:hAnsi="Times New Roman"/>
          <w:sz w:val="22"/>
          <w:szCs w:val="22"/>
        </w:rPr>
        <w:t xml:space="preserve">, </w:t>
      </w:r>
      <w:r w:rsidR="21AA0E0E" w:rsidRPr="0206AD64">
        <w:rPr>
          <w:rFonts w:ascii="Times New Roman" w:hAnsi="Times New Roman"/>
          <w:sz w:val="22"/>
          <w:szCs w:val="22"/>
        </w:rPr>
        <w:t>effective</w:t>
      </w:r>
      <w:r w:rsidR="6669E447" w:rsidRPr="0206AD64">
        <w:rPr>
          <w:rFonts w:ascii="Times New Roman" w:hAnsi="Times New Roman"/>
          <w:sz w:val="22"/>
          <w:szCs w:val="22"/>
        </w:rPr>
        <w:t xml:space="preserve"> </w:t>
      </w:r>
      <w:r w:rsidR="00512475" w:rsidRPr="0206AD64">
        <w:rPr>
          <w:rFonts w:ascii="Times New Roman" w:hAnsi="Times New Roman"/>
          <w:sz w:val="22"/>
          <w:szCs w:val="22"/>
        </w:rPr>
        <w:t>on the implementation date</w:t>
      </w:r>
      <w:r w:rsidR="6669E447" w:rsidRPr="0206AD64">
        <w:rPr>
          <w:rFonts w:ascii="Times New Roman" w:hAnsi="Times New Roman"/>
          <w:sz w:val="22"/>
          <w:szCs w:val="22"/>
        </w:rPr>
        <w:t>,</w:t>
      </w:r>
      <w:r w:rsidRPr="0206AD64">
        <w:rPr>
          <w:rFonts w:ascii="Times New Roman" w:hAnsi="Times New Roman"/>
          <w:sz w:val="22"/>
          <w:szCs w:val="22"/>
        </w:rPr>
        <w:t xml:space="preserve"> </w:t>
      </w:r>
      <w:r w:rsidR="58387D1B" w:rsidRPr="0206AD64">
        <w:rPr>
          <w:rFonts w:ascii="Times New Roman" w:hAnsi="Times New Roman"/>
          <w:sz w:val="22"/>
          <w:szCs w:val="22"/>
        </w:rPr>
        <w:t xml:space="preserve">one </w:t>
      </w:r>
      <w:r w:rsidRPr="0206AD64">
        <w:rPr>
          <w:rFonts w:ascii="Times New Roman" w:hAnsi="Times New Roman"/>
          <w:sz w:val="22"/>
          <w:szCs w:val="22"/>
        </w:rPr>
        <w:t>accessory dwelling unit to be located on the same lot as a single-family dwelling unit in</w:t>
      </w:r>
      <w:r w:rsidR="2E52B546" w:rsidRPr="0206AD64">
        <w:rPr>
          <w:rFonts w:ascii="Times New Roman" w:hAnsi="Times New Roman"/>
          <w:sz w:val="22"/>
          <w:szCs w:val="22"/>
        </w:rPr>
        <w:t xml:space="preserve"> </w:t>
      </w:r>
      <w:r w:rsidRPr="0206AD64">
        <w:rPr>
          <w:rFonts w:ascii="Times New Roman" w:hAnsi="Times New Roman"/>
          <w:sz w:val="22"/>
          <w:szCs w:val="22"/>
        </w:rPr>
        <w:t xml:space="preserve">any area in which </w:t>
      </w:r>
      <w:r w:rsidR="0E121EB7" w:rsidRPr="0206AD64">
        <w:rPr>
          <w:rFonts w:ascii="Times New Roman" w:hAnsi="Times New Roman"/>
          <w:sz w:val="22"/>
          <w:szCs w:val="22"/>
        </w:rPr>
        <w:t>residential uses are permitted, includ</w:t>
      </w:r>
      <w:r w:rsidR="250AA66F" w:rsidRPr="0206AD64">
        <w:rPr>
          <w:rFonts w:ascii="Times New Roman" w:hAnsi="Times New Roman"/>
          <w:sz w:val="22"/>
          <w:szCs w:val="22"/>
        </w:rPr>
        <w:t>i</w:t>
      </w:r>
      <w:r w:rsidR="0E121EB7" w:rsidRPr="0206AD64">
        <w:rPr>
          <w:rFonts w:ascii="Times New Roman" w:hAnsi="Times New Roman"/>
          <w:sz w:val="22"/>
          <w:szCs w:val="22"/>
        </w:rPr>
        <w:t>ng as a condition</w:t>
      </w:r>
      <w:r w:rsidR="74BEA038" w:rsidRPr="0206AD64">
        <w:rPr>
          <w:rFonts w:ascii="Times New Roman" w:hAnsi="Times New Roman"/>
          <w:sz w:val="22"/>
          <w:szCs w:val="22"/>
        </w:rPr>
        <w:t>al</w:t>
      </w:r>
      <w:r w:rsidR="0E121EB7" w:rsidRPr="0206AD64">
        <w:rPr>
          <w:rFonts w:ascii="Times New Roman" w:hAnsi="Times New Roman"/>
          <w:sz w:val="22"/>
          <w:szCs w:val="22"/>
        </w:rPr>
        <w:t xml:space="preserve"> use</w:t>
      </w:r>
      <w:r w:rsidR="167F2F04" w:rsidRPr="0206AD64">
        <w:rPr>
          <w:rFonts w:ascii="Times New Roman" w:hAnsi="Times New Roman"/>
          <w:sz w:val="22"/>
          <w:szCs w:val="22"/>
        </w:rPr>
        <w:t>, subject to the requirements outlined below</w:t>
      </w:r>
      <w:r w:rsidRPr="0206AD64">
        <w:rPr>
          <w:rFonts w:ascii="Times New Roman" w:hAnsi="Times New Roman"/>
          <w:sz w:val="22"/>
          <w:szCs w:val="22"/>
        </w:rPr>
        <w:t>.</w:t>
      </w:r>
      <w:r w:rsidR="5FB734B4" w:rsidRPr="0206AD64">
        <w:rPr>
          <w:rFonts w:ascii="Times New Roman" w:hAnsi="Times New Roman"/>
          <w:sz w:val="22"/>
          <w:szCs w:val="22"/>
        </w:rPr>
        <w:t xml:space="preserve"> The requirements listed in Section 4 apply to municipalities with and without zoning. </w:t>
      </w:r>
      <w:r w:rsidR="205A6044" w:rsidRPr="0206AD64">
        <w:rPr>
          <w:rFonts w:ascii="Times New Roman" w:hAnsi="Times New Roman"/>
          <w:sz w:val="22"/>
          <w:szCs w:val="22"/>
        </w:rPr>
        <w:t xml:space="preserve">Private, state or local standards such as homeowners’ association regulation, deed restrictions, set back, density, septic requirements, shoreland zoning and subdivision law may </w:t>
      </w:r>
      <w:r w:rsidR="0EAD0A90" w:rsidRPr="0206AD64">
        <w:rPr>
          <w:rFonts w:ascii="Times New Roman" w:hAnsi="Times New Roman"/>
          <w:sz w:val="22"/>
          <w:szCs w:val="22"/>
        </w:rPr>
        <w:t xml:space="preserve">also </w:t>
      </w:r>
      <w:r w:rsidR="205A6044" w:rsidRPr="0206AD64">
        <w:rPr>
          <w:rFonts w:ascii="Times New Roman" w:hAnsi="Times New Roman"/>
          <w:sz w:val="22"/>
          <w:szCs w:val="22"/>
        </w:rPr>
        <w:t xml:space="preserve">apply </w:t>
      </w:r>
      <w:r w:rsidR="26F84794" w:rsidRPr="0206AD64">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51DC1AD7" w:rsidR="00F76723"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w:t>
      </w:r>
      <w:r w:rsidR="000412C7">
        <w:rPr>
          <w:rFonts w:ascii="Times New Roman" w:hAnsi="Times New Roman"/>
          <w:sz w:val="22"/>
          <w:szCs w:val="22"/>
        </w:rPr>
        <w:t>, quadplex,</w:t>
      </w:r>
      <w:r w:rsidRPr="006061AB">
        <w:rPr>
          <w:rFonts w:ascii="Times New Roman" w:hAnsi="Times New Roman"/>
          <w:sz w:val="22"/>
          <w:szCs w:val="22"/>
        </w:rPr>
        <w:t xml:space="preserve"> and other multi-unit buildings shall be considered consistent with </w:t>
      </w:r>
      <w:r w:rsidR="001F2332" w:rsidRPr="006061AB">
        <w:rPr>
          <w:rFonts w:ascii="Times New Roman" w:hAnsi="Times New Roman"/>
          <w:sz w:val="22"/>
          <w:szCs w:val="22"/>
        </w:rPr>
        <w:t xml:space="preserve">the goals of </w:t>
      </w:r>
      <w:r w:rsidR="00512475">
        <w:rPr>
          <w:rFonts w:ascii="Times New Roman" w:hAnsi="Times New Roman"/>
          <w:sz w:val="22"/>
          <w:szCs w:val="22"/>
        </w:rPr>
        <w:t xml:space="preserve">30-A M.R.S. §§ 4364 to 4364-B. </w:t>
      </w:r>
    </w:p>
    <w:p w14:paraId="6967C0F0" w14:textId="77777777" w:rsidR="001906A2" w:rsidRDefault="001906A2" w:rsidP="001906A2">
      <w:pPr>
        <w:pStyle w:val="ListParagraph"/>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195731B8" w14:textId="65D19B35" w:rsidR="00C757FC" w:rsidRPr="006061AB" w:rsidRDefault="00C757F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5E218EA2">
        <w:rPr>
          <w:rFonts w:ascii="Times New Roman" w:hAnsi="Times New Roman"/>
          <w:sz w:val="22"/>
          <w:szCs w:val="22"/>
        </w:rPr>
        <w:t xml:space="preserve">A municipality may not categorically prohibit accessory dwelling units in the shoreland zone that would otherwise meet the shoreland zoning requirements established by the Department of Environmental Protection, Title 28, Chapter 3, and municipal shoreland zoning ordinances. </w:t>
      </w:r>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Within an existing dwelling unit on the lot;</w:t>
      </w:r>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w:t>
      </w:r>
      <w:proofErr w:type="spellStart"/>
      <w:r w:rsidRPr="006061AB">
        <w:rPr>
          <w:rFonts w:ascii="Times New Roman" w:hAnsi="Times New Roman"/>
          <w:color w:val="000000" w:themeColor="text1"/>
          <w:sz w:val="22"/>
          <w:szCs w:val="22"/>
        </w:rPr>
        <w:t>i</w:t>
      </w:r>
      <w:proofErr w:type="spellEnd"/>
      <w:r w:rsidRPr="006061AB">
        <w:rPr>
          <w:rFonts w:ascii="Times New Roman" w:hAnsi="Times New Roman"/>
          <w:color w:val="000000" w:themeColor="text1"/>
          <w:sz w:val="22"/>
          <w:szCs w:val="22"/>
        </w:rPr>
        <w:t>)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57E6A2B6"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At least one </w:t>
      </w:r>
      <w:r w:rsidR="12784B8B" w:rsidRPr="0206AD64">
        <w:rPr>
          <w:rFonts w:ascii="Times New Roman" w:hAnsi="Times New Roman"/>
          <w:sz w:val="22"/>
          <w:szCs w:val="22"/>
        </w:rPr>
        <w:t>accessory dwelling unit</w:t>
      </w:r>
      <w:r w:rsidRPr="0206AD64">
        <w:rPr>
          <w:rFonts w:ascii="Times New Roman" w:hAnsi="Times New Roman"/>
          <w:sz w:val="22"/>
          <w:szCs w:val="22"/>
        </w:rPr>
        <w:t xml:space="preserve"> must be allowed on any lot where a single-family dwelling unit is the principal structure; </w:t>
      </w:r>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1BB95E0" w14:textId="5D722927"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lastRenderedPageBreak/>
        <w:t xml:space="preserve">If more than one </w:t>
      </w:r>
      <w:r w:rsidR="30B84A81" w:rsidRPr="0206AD64">
        <w:rPr>
          <w:rFonts w:ascii="Times New Roman" w:hAnsi="Times New Roman"/>
          <w:sz w:val="22"/>
          <w:szCs w:val="22"/>
        </w:rPr>
        <w:t>accessory dwelling unit</w:t>
      </w:r>
      <w:r w:rsidRPr="0206AD64">
        <w:rPr>
          <w:rFonts w:ascii="Times New Roman" w:hAnsi="Times New Roman"/>
          <w:sz w:val="22"/>
          <w:szCs w:val="22"/>
        </w:rPr>
        <w:t xml:space="preserve"> has been constructed on a lot as a result of the allowance </w:t>
      </w:r>
      <w:r w:rsidR="7BB79A40" w:rsidRPr="0206AD64">
        <w:rPr>
          <w:rFonts w:ascii="Times New Roman" w:hAnsi="Times New Roman"/>
          <w:sz w:val="22"/>
          <w:szCs w:val="22"/>
        </w:rPr>
        <w:t>pursuant to</w:t>
      </w:r>
      <w:r w:rsidR="1FA87F8E" w:rsidRPr="0206AD64">
        <w:rPr>
          <w:rFonts w:ascii="Times New Roman" w:hAnsi="Times New Roman"/>
          <w:sz w:val="22"/>
          <w:szCs w:val="22"/>
        </w:rPr>
        <w:t xml:space="preserve"> </w:t>
      </w:r>
      <w:r w:rsidRPr="0206AD64">
        <w:rPr>
          <w:rFonts w:ascii="Times New Roman" w:hAnsi="Times New Roman"/>
          <w:sz w:val="22"/>
          <w:szCs w:val="22"/>
        </w:rPr>
        <w:t xml:space="preserve">this </w:t>
      </w:r>
      <w:r w:rsidR="4EB2E904" w:rsidRPr="0206AD64">
        <w:rPr>
          <w:rFonts w:ascii="Times New Roman" w:hAnsi="Times New Roman"/>
          <w:sz w:val="22"/>
          <w:szCs w:val="22"/>
        </w:rPr>
        <w:t>S</w:t>
      </w:r>
      <w:r w:rsidRPr="0206AD64">
        <w:rPr>
          <w:rFonts w:ascii="Times New Roman" w:hAnsi="Times New Roman"/>
          <w:sz w:val="22"/>
          <w:szCs w:val="22"/>
        </w:rPr>
        <w:t xml:space="preserve">ection, the lot is not eligible for any additional </w:t>
      </w:r>
      <w:r w:rsidR="3654E2A5" w:rsidRPr="0206AD64">
        <w:rPr>
          <w:rFonts w:ascii="Times New Roman" w:hAnsi="Times New Roman"/>
          <w:sz w:val="22"/>
          <w:szCs w:val="22"/>
        </w:rPr>
        <w:t xml:space="preserve">units or </w:t>
      </w:r>
      <w:r w:rsidRPr="0206AD64">
        <w:rPr>
          <w:rFonts w:ascii="Times New Roman" w:hAnsi="Times New Roman"/>
          <w:sz w:val="22"/>
          <w:szCs w:val="22"/>
        </w:rPr>
        <w:t xml:space="preserve">increases in density, except as allowed by the municipality. </w:t>
      </w:r>
      <w:r w:rsidR="790F282D" w:rsidRPr="0206AD64">
        <w:rPr>
          <w:rFonts w:ascii="Times New Roman" w:hAnsi="Times New Roman"/>
          <w:sz w:val="22"/>
          <w:szCs w:val="22"/>
        </w:rPr>
        <w:t>Municipalities have the discretion to determine if a dwelling unit or accessory dwelling unit has been constructed on a lot for purposes of this provision</w:t>
      </w:r>
      <w:r w:rsidR="3A80F044" w:rsidRPr="0206AD64">
        <w:rPr>
          <w:rFonts w:ascii="Times New Roman" w:hAnsi="Times New Roman"/>
          <w:sz w:val="22"/>
          <w:szCs w:val="22"/>
        </w:rPr>
        <w:t>; and</w:t>
      </w:r>
    </w:p>
    <w:p w14:paraId="4563B387" w14:textId="7FF4627D" w:rsidR="00F76723" w:rsidRPr="006061AB" w:rsidRDefault="00F76723" w:rsidP="001906A2">
      <w:pPr>
        <w:widowControl/>
        <w:tabs>
          <w:tab w:val="left" w:pos="720"/>
          <w:tab w:val="left" w:pos="1440"/>
          <w:tab w:val="left" w:pos="2160"/>
          <w:tab w:val="left" w:pos="2880"/>
          <w:tab w:val="left" w:pos="3600"/>
          <w:tab w:val="left" w:pos="4320"/>
        </w:tabs>
        <w:suppressAutoHyphens/>
        <w:rPr>
          <w:szCs w:val="24"/>
        </w:rPr>
      </w:pPr>
    </w:p>
    <w:p w14:paraId="716AF418" w14:textId="6253007B" w:rsidR="00F76723" w:rsidRPr="00D166E2" w:rsidRDefault="3A80F044" w:rsidP="5E218EA2">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5E218EA2">
        <w:rPr>
          <w:rFonts w:ascii="Times New Roman" w:hAnsi="Times New Roman"/>
          <w:sz w:val="22"/>
          <w:szCs w:val="22"/>
        </w:rPr>
        <w:t>An accessory dwelling unit is allowed on a lot that does not conform to the municipal zoning ordinance if the accessory dwelling unit does not further increase the nonconformity</w:t>
      </w:r>
      <w:r w:rsidR="62401F4F" w:rsidRPr="5E218EA2">
        <w:rPr>
          <w:rFonts w:ascii="Times New Roman" w:hAnsi="Times New Roman"/>
          <w:sz w:val="22"/>
          <w:szCs w:val="22"/>
        </w:rPr>
        <w:t xml:space="preserve">, meaning the accessory dwelling unit </w:t>
      </w:r>
      <w:r w:rsidR="001906A2">
        <w:rPr>
          <w:rFonts w:ascii="Times New Roman" w:hAnsi="Times New Roman"/>
          <w:sz w:val="22"/>
          <w:szCs w:val="22"/>
        </w:rPr>
        <w:t>does not cause further deviat</w:t>
      </w:r>
      <w:r w:rsidR="006C6584">
        <w:rPr>
          <w:rFonts w:ascii="Times New Roman" w:hAnsi="Times New Roman"/>
          <w:sz w:val="22"/>
          <w:szCs w:val="22"/>
        </w:rPr>
        <w:t>ion</w:t>
      </w:r>
      <w:r w:rsidR="001906A2">
        <w:rPr>
          <w:rFonts w:ascii="Times New Roman" w:hAnsi="Times New Roman"/>
          <w:sz w:val="22"/>
          <w:szCs w:val="22"/>
        </w:rPr>
        <w:t xml:space="preserve"> from the dimensional standard(s) creating the nonconformity, excluding lot area. </w:t>
      </w:r>
    </w:p>
    <w:p w14:paraId="284E6899" w14:textId="0651A371" w:rsidR="00F76723" w:rsidRPr="006061AB" w:rsidRDefault="00F76723" w:rsidP="5E218EA2">
      <w:pPr>
        <w:widowControl/>
        <w:tabs>
          <w:tab w:val="left" w:pos="720"/>
          <w:tab w:val="left" w:pos="1440"/>
          <w:tab w:val="left" w:pos="2160"/>
          <w:tab w:val="left" w:pos="2880"/>
          <w:tab w:val="left" w:pos="3600"/>
          <w:tab w:val="left" w:pos="4320"/>
        </w:tabs>
        <w:rPr>
          <w:szCs w:val="24"/>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r w:rsidR="3910E57F" w:rsidRPr="006061AB">
        <w:rPr>
          <w:rFonts w:ascii="Times New Roman" w:hAnsi="Times New Roman"/>
          <w:sz w:val="22"/>
          <w:szCs w:val="22"/>
        </w:rPr>
        <w:t>constructed;</w:t>
      </w:r>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0D3E5ABE"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r w:rsidR="00305B38">
        <w:rPr>
          <w:rFonts w:ascii="Times New Roman" w:hAnsi="Times New Roman"/>
          <w:sz w:val="22"/>
          <w:szCs w:val="22"/>
        </w:rPr>
        <w:t>, excluding lot area requirements,</w:t>
      </w:r>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of the single-family dwelling unit</w:t>
      </w:r>
      <w:r w:rsidR="3A03A3EB" w:rsidRPr="006061AB">
        <w:rPr>
          <w:rFonts w:ascii="Times New Roman" w:hAnsi="Times New Roman"/>
          <w:sz w:val="22"/>
          <w:szCs w:val="22"/>
        </w:rPr>
        <w:t>;</w:t>
      </w:r>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6D8E58CB"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w:t>
      </w:r>
      <w:r w:rsidR="00512475">
        <w:rPr>
          <w:rFonts w:ascii="Times New Roman" w:hAnsi="Times New Roman"/>
          <w:sz w:val="22"/>
          <w:szCs w:val="22"/>
        </w:rPr>
        <w:t>the implementation date</w:t>
      </w:r>
      <w:r w:rsidR="0AAEDBD3" w:rsidRPr="006061AB">
        <w:rPr>
          <w:rFonts w:ascii="Times New Roman" w:hAnsi="Times New Roman"/>
          <w:sz w:val="22"/>
          <w:szCs w:val="22"/>
        </w:rPr>
        <w:t xml:space="preserve">,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285EFB9D" w:rsidR="00F76723"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w:t>
      </w:r>
      <w:r w:rsidR="48BAC9E5" w:rsidRPr="0206AD64">
        <w:rPr>
          <w:rFonts w:ascii="Times New Roman" w:hAnsi="Times New Roman"/>
          <w:sz w:val="22"/>
          <w:szCs w:val="22"/>
        </w:rPr>
        <w:t>n</w:t>
      </w:r>
      <w:r w:rsidRPr="0206AD64">
        <w:rPr>
          <w:rFonts w:ascii="Times New Roman" w:hAnsi="Times New Roman"/>
          <w:sz w:val="22"/>
          <w:szCs w:val="22"/>
        </w:rPr>
        <w:t xml:space="preserve"> </w:t>
      </w:r>
      <w:r w:rsidR="053E41F4" w:rsidRPr="0206AD64">
        <w:rPr>
          <w:rFonts w:ascii="Times New Roman" w:hAnsi="Times New Roman"/>
          <w:sz w:val="22"/>
          <w:szCs w:val="22"/>
        </w:rPr>
        <w:t>accessory dwelling unit may not be subject to any additional</w:t>
      </w:r>
      <w:r w:rsidR="448964E3" w:rsidRPr="0206AD64">
        <w:rPr>
          <w:rFonts w:ascii="Times New Roman" w:hAnsi="Times New Roman"/>
          <w:sz w:val="22"/>
          <w:szCs w:val="22"/>
        </w:rPr>
        <w:t xml:space="preserve"> motor vehicle </w:t>
      </w:r>
      <w:r w:rsidR="053E41F4" w:rsidRPr="0206AD64">
        <w:rPr>
          <w:rFonts w:ascii="Times New Roman" w:hAnsi="Times New Roman"/>
          <w:sz w:val="22"/>
          <w:szCs w:val="22"/>
        </w:rPr>
        <w:t>parking requirements beyon</w:t>
      </w:r>
      <w:r w:rsidR="34A09840" w:rsidRPr="0206AD64">
        <w:rPr>
          <w:rFonts w:ascii="Times New Roman" w:hAnsi="Times New Roman"/>
          <w:sz w:val="22"/>
          <w:szCs w:val="22"/>
        </w:rPr>
        <w:t>d</w:t>
      </w:r>
      <w:r w:rsidR="053E41F4" w:rsidRPr="0206AD64">
        <w:rPr>
          <w:rFonts w:ascii="Times New Roman" w:hAnsi="Times New Roman"/>
          <w:sz w:val="22"/>
          <w:szCs w:val="22"/>
        </w:rPr>
        <w:t xml:space="preserve"> the parking requirements of the single-family dwelling unit on the lot where the accessory dwelling unit is located</w:t>
      </w:r>
      <w:r w:rsidR="27794ED9" w:rsidRPr="0206AD64">
        <w:rPr>
          <w:rFonts w:ascii="Times New Roman" w:hAnsi="Times New Roman"/>
          <w:sz w:val="22"/>
          <w:szCs w:val="22"/>
        </w:rPr>
        <w:t>.</w:t>
      </w:r>
    </w:p>
    <w:p w14:paraId="7367E2FA" w14:textId="77777777" w:rsidR="006C6584" w:rsidRPr="006C6584" w:rsidRDefault="006C6584" w:rsidP="006C6584">
      <w:pPr>
        <w:pStyle w:val="ListParagraph"/>
        <w:rPr>
          <w:rFonts w:ascii="Times New Roman" w:hAnsi="Times New Roman"/>
          <w:sz w:val="22"/>
          <w:szCs w:val="22"/>
        </w:rPr>
      </w:pPr>
    </w:p>
    <w:p w14:paraId="5EE78861" w14:textId="77777777" w:rsidR="006C6584" w:rsidRPr="006061AB" w:rsidRDefault="006C6584" w:rsidP="006C6584">
      <w:pPr>
        <w:pStyle w:val="ListParagraph"/>
        <w:widowControl/>
        <w:tabs>
          <w:tab w:val="left" w:pos="720"/>
          <w:tab w:val="left" w:pos="1440"/>
          <w:tab w:val="left" w:pos="2160"/>
          <w:tab w:val="left" w:pos="2880"/>
          <w:tab w:val="left" w:pos="3600"/>
          <w:tab w:val="left" w:pos="4320"/>
        </w:tabs>
        <w:suppressAutoHyphens/>
        <w:ind w:left="2880"/>
        <w:rPr>
          <w:rFonts w:ascii="Times New Roman" w:hAnsi="Times New Roman"/>
          <w:sz w:val="22"/>
          <w:szCs w:val="22"/>
        </w:rPr>
      </w:pPr>
    </w:p>
    <w:p w14:paraId="0049A9E6" w14:textId="58E07CEB" w:rsidR="35180968" w:rsidRDefault="35180968" w:rsidP="0206AD64">
      <w:pPr>
        <w:pStyle w:val="ListParagraph"/>
        <w:widowControl/>
        <w:numPr>
          <w:ilvl w:val="0"/>
          <w:numId w:val="2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5E218EA2">
        <w:rPr>
          <w:rFonts w:ascii="Times New Roman" w:hAnsi="Times New Roman"/>
          <w:sz w:val="22"/>
          <w:szCs w:val="22"/>
        </w:rPr>
        <w:t xml:space="preserve">An accessory dwelling unit that was not built with municipal approval must be allowed if the accessory dwelling unit otherwise meets the requirements for accessory dwelling units of the municipality and under this Section. </w:t>
      </w:r>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xml:space="preserve">, pursuant to </w:t>
      </w:r>
      <w:r w:rsidR="5A57AEEB" w:rsidRPr="006061AB">
        <w:rPr>
          <w:rFonts w:ascii="Times New Roman" w:hAnsi="Times New Roman"/>
          <w:sz w:val="22"/>
          <w:szCs w:val="22"/>
        </w:rPr>
        <w:lastRenderedPageBreak/>
        <w:t>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as long as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w:t>
      </w:r>
      <w:r w:rsidR="00063EFA" w:rsidRPr="006061AB">
        <w:rPr>
          <w:rFonts w:ascii="Times New Roman" w:hAnsi="Times New Roman"/>
          <w:sz w:val="22"/>
          <w:szCs w:val="22"/>
        </w:rPr>
        <w:t xml:space="preserve"> </w:t>
      </w:r>
      <w:r w:rsidRPr="006061AB">
        <w:rPr>
          <w:rFonts w:ascii="Times New Roman" w:hAnsi="Times New Roman"/>
          <w:sz w:val="22"/>
          <w:szCs w:val="22"/>
        </w:rPr>
        <w:t>system;</w:t>
      </w:r>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Subsurface Wastewater Disposal Rules</w:t>
      </w:r>
      <w:r w:rsidR="00EC5725" w:rsidRPr="006061AB">
        <w:rPr>
          <w:rFonts w:ascii="Times New Roman" w:hAnsi="Times New Roman"/>
          <w:sz w:val="22"/>
          <w:szCs w:val="22"/>
        </w:rPr>
        <w:t>;</w:t>
      </w:r>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413B0AA1"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5E218EA2">
        <w:rPr>
          <w:rFonts w:ascii="Times New Roman" w:hAnsi="Times New Roman"/>
          <w:sz w:val="22"/>
          <w:szCs w:val="22"/>
        </w:rPr>
        <w:t>Establish an application and permitting process for accessory dwelling units</w:t>
      </w:r>
      <w:r w:rsidR="40BEED69" w:rsidRPr="5E218EA2">
        <w:rPr>
          <w:rFonts w:ascii="Times New Roman" w:hAnsi="Times New Roman"/>
          <w:sz w:val="22"/>
          <w:szCs w:val="22"/>
        </w:rPr>
        <w:t xml:space="preserve"> that </w:t>
      </w:r>
      <w:r>
        <w:tab/>
      </w:r>
      <w:r>
        <w:tab/>
      </w:r>
      <w:r w:rsidR="001906A2">
        <w:tab/>
      </w:r>
      <w:r w:rsidR="40BEED69" w:rsidRPr="5E218EA2">
        <w:rPr>
          <w:rFonts w:ascii="Times New Roman" w:hAnsi="Times New Roman"/>
          <w:sz w:val="22"/>
          <w:szCs w:val="22"/>
        </w:rPr>
        <w:t>does not require planning board approval</w:t>
      </w:r>
      <w:r w:rsidR="0031635A">
        <w:rPr>
          <w:rFonts w:ascii="Times New Roman" w:hAnsi="Times New Roman"/>
          <w:sz w:val="22"/>
          <w:szCs w:val="22"/>
        </w:rPr>
        <w:t>;</w:t>
      </w:r>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 zoning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t>
      </w:r>
      <w:r w:rsidR="70FC4601" w:rsidRPr="006061AB">
        <w:rPr>
          <w:rFonts w:ascii="Times New Roman" w:hAnsi="Times New Roman"/>
          <w:sz w:val="22"/>
          <w:szCs w:val="22"/>
        </w:rPr>
        <w:lastRenderedPageBreak/>
        <w:t>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3665EC9">
        <w:rPr>
          <w:rFonts w:ascii="Times New Roman" w:hAnsi="Times New Roman"/>
          <w:sz w:val="22"/>
          <w:szCs w:val="22"/>
        </w:rPr>
        <w:t>S</w:t>
      </w:r>
      <w:r w:rsidR="14F085DB" w:rsidRPr="03665EC9">
        <w:rPr>
          <w:rFonts w:ascii="Times New Roman" w:hAnsi="Times New Roman"/>
          <w:sz w:val="22"/>
          <w:szCs w:val="22"/>
        </w:rPr>
        <w:t>TATUTORY AUTHORITY</w:t>
      </w:r>
      <w:r w:rsidRPr="03665EC9">
        <w:rPr>
          <w:rFonts w:ascii="Times New Roman" w:hAnsi="Times New Roman"/>
          <w:sz w:val="22"/>
          <w:szCs w:val="22"/>
        </w:rPr>
        <w:t>:</w:t>
      </w:r>
    </w:p>
    <w:p w14:paraId="064FF239" w14:textId="760A05DC" w:rsidR="03665EC9" w:rsidRDefault="03665EC9" w:rsidP="03665EC9">
      <w:pPr>
        <w:widowControl/>
        <w:tabs>
          <w:tab w:val="left" w:pos="720"/>
          <w:tab w:val="left" w:pos="1440"/>
          <w:tab w:val="left" w:pos="2160"/>
          <w:tab w:val="left" w:pos="2880"/>
          <w:tab w:val="left" w:pos="3600"/>
          <w:tab w:val="left" w:pos="4320"/>
        </w:tabs>
        <w:rPr>
          <w:rFonts w:ascii="Times New Roman" w:hAnsi="Times New Roman"/>
          <w:sz w:val="22"/>
          <w:szCs w:val="22"/>
        </w:rPr>
      </w:pPr>
    </w:p>
    <w:p w14:paraId="7F024308" w14:textId="5598EA6F" w:rsidR="005D7A2C" w:rsidRDefault="783F851F" w:rsidP="03665EC9">
      <w:pPr>
        <w:widowControl/>
        <w:tabs>
          <w:tab w:val="left" w:pos="720"/>
          <w:tab w:val="left" w:pos="1440"/>
          <w:tab w:val="left" w:pos="2160"/>
          <w:tab w:val="left" w:pos="2880"/>
          <w:tab w:val="left" w:pos="3600"/>
          <w:tab w:val="left" w:pos="4320"/>
        </w:tabs>
        <w:rPr>
          <w:rFonts w:ascii="Times New Roman" w:hAnsi="Times New Roman"/>
          <w:sz w:val="22"/>
          <w:szCs w:val="22"/>
        </w:rPr>
      </w:pPr>
      <w:r w:rsidRPr="0206AD64">
        <w:rPr>
          <w:rFonts w:ascii="Times New Roman" w:hAnsi="Times New Roman"/>
          <w:sz w:val="22"/>
          <w:szCs w:val="22"/>
        </w:rPr>
        <w:t xml:space="preserve">PL 2021 </w:t>
      </w:r>
      <w:r w:rsidR="00886C38" w:rsidRPr="0206AD64">
        <w:rPr>
          <w:rFonts w:ascii="Times New Roman" w:hAnsi="Times New Roman"/>
          <w:sz w:val="22"/>
          <w:szCs w:val="22"/>
        </w:rPr>
        <w:t>C</w:t>
      </w:r>
      <w:r w:rsidRPr="0206AD64">
        <w:rPr>
          <w:rFonts w:ascii="Times New Roman" w:hAnsi="Times New Roman"/>
          <w:sz w:val="22"/>
          <w:szCs w:val="22"/>
        </w:rPr>
        <w:t xml:space="preserve">h. </w:t>
      </w:r>
      <w:r w:rsidR="2AD59DD0" w:rsidRPr="0206AD64">
        <w:rPr>
          <w:rFonts w:ascii="Times New Roman" w:hAnsi="Times New Roman"/>
          <w:sz w:val="22"/>
          <w:szCs w:val="22"/>
        </w:rPr>
        <w:t>672</w:t>
      </w:r>
      <w:r w:rsidR="3A3BAB67" w:rsidRPr="0206AD64">
        <w:rPr>
          <w:rFonts w:ascii="Times New Roman" w:hAnsi="Times New Roman"/>
          <w:sz w:val="22"/>
          <w:szCs w:val="22"/>
        </w:rPr>
        <w:t>,</w:t>
      </w:r>
      <w:r w:rsidR="00512475" w:rsidRPr="0206AD64">
        <w:rPr>
          <w:rFonts w:ascii="Times New Roman" w:hAnsi="Times New Roman"/>
          <w:sz w:val="22"/>
          <w:szCs w:val="22"/>
        </w:rPr>
        <w:t xml:space="preserve"> </w:t>
      </w:r>
      <w:r w:rsidR="00912915" w:rsidRPr="0206AD64">
        <w:rPr>
          <w:rFonts w:ascii="Times New Roman" w:hAnsi="Times New Roman"/>
          <w:sz w:val="22"/>
          <w:szCs w:val="22"/>
        </w:rPr>
        <w:t>P</w:t>
      </w:r>
      <w:r w:rsidR="00512475" w:rsidRPr="0206AD64">
        <w:rPr>
          <w:rFonts w:ascii="Times New Roman" w:hAnsi="Times New Roman"/>
          <w:sz w:val="22"/>
          <w:szCs w:val="22"/>
        </w:rPr>
        <w:t>L 202</w:t>
      </w:r>
      <w:r w:rsidR="009C2C46" w:rsidRPr="0206AD64">
        <w:rPr>
          <w:rFonts w:ascii="Times New Roman" w:hAnsi="Times New Roman"/>
          <w:sz w:val="22"/>
          <w:szCs w:val="22"/>
        </w:rPr>
        <w:t>3</w:t>
      </w:r>
      <w:r w:rsidR="00512475" w:rsidRPr="0206AD64">
        <w:rPr>
          <w:rFonts w:ascii="Times New Roman" w:hAnsi="Times New Roman"/>
          <w:sz w:val="22"/>
          <w:szCs w:val="22"/>
        </w:rPr>
        <w:t xml:space="preserve"> Ch. </w:t>
      </w:r>
      <w:r w:rsidR="00357143" w:rsidRPr="0206AD64">
        <w:rPr>
          <w:rFonts w:ascii="Times New Roman" w:hAnsi="Times New Roman"/>
          <w:sz w:val="22"/>
          <w:szCs w:val="22"/>
        </w:rPr>
        <w:t>192</w:t>
      </w:r>
      <w:r w:rsidR="00512475" w:rsidRPr="0206AD64">
        <w:rPr>
          <w:rFonts w:ascii="Times New Roman" w:hAnsi="Times New Roman"/>
          <w:sz w:val="22"/>
          <w:szCs w:val="22"/>
        </w:rPr>
        <w:t>,</w:t>
      </w:r>
      <w:r w:rsidR="4620EBEA" w:rsidRPr="0206AD64">
        <w:rPr>
          <w:rFonts w:ascii="Times New Roman" w:hAnsi="Times New Roman"/>
          <w:sz w:val="22"/>
          <w:szCs w:val="22"/>
        </w:rPr>
        <w:t xml:space="preserve"> and PL 2023, </w:t>
      </w:r>
      <w:r w:rsidR="00F15831">
        <w:rPr>
          <w:rFonts w:ascii="Times New Roman" w:hAnsi="Times New Roman"/>
          <w:sz w:val="22"/>
          <w:szCs w:val="22"/>
        </w:rPr>
        <w:t>C</w:t>
      </w:r>
      <w:r w:rsidR="4620EBEA" w:rsidRPr="006C6584">
        <w:rPr>
          <w:rFonts w:ascii="Times New Roman" w:hAnsi="Times New Roman"/>
          <w:sz w:val="22"/>
          <w:szCs w:val="22"/>
        </w:rPr>
        <w:t xml:space="preserve">h. </w:t>
      </w:r>
      <w:r w:rsidR="3A585705" w:rsidRPr="006C6584">
        <w:rPr>
          <w:rFonts w:ascii="Times New Roman" w:hAnsi="Times New Roman"/>
          <w:sz w:val="22"/>
          <w:szCs w:val="22"/>
        </w:rPr>
        <w:t>264</w:t>
      </w:r>
      <w:r w:rsidR="3A585705" w:rsidRPr="0206AD64">
        <w:rPr>
          <w:rFonts w:ascii="Times New Roman" w:hAnsi="Times New Roman"/>
          <w:sz w:val="22"/>
          <w:szCs w:val="22"/>
        </w:rPr>
        <w:t>,</w:t>
      </w:r>
      <w:r w:rsidR="00512475" w:rsidRPr="0206AD64">
        <w:rPr>
          <w:rFonts w:ascii="Times New Roman" w:hAnsi="Times New Roman"/>
          <w:sz w:val="22"/>
          <w:szCs w:val="22"/>
        </w:rPr>
        <w:t xml:space="preserve"> </w:t>
      </w:r>
      <w:r w:rsidR="00A64A92" w:rsidRPr="0206AD64">
        <w:rPr>
          <w:rFonts w:ascii="Times New Roman" w:hAnsi="Times New Roman"/>
          <w:sz w:val="22"/>
          <w:szCs w:val="22"/>
        </w:rPr>
        <w:t xml:space="preserve">codified at </w:t>
      </w:r>
      <w:r w:rsidR="0072324D" w:rsidRPr="0206AD64">
        <w:rPr>
          <w:rFonts w:ascii="Times New Roman" w:hAnsi="Times New Roman"/>
          <w:sz w:val="22"/>
          <w:szCs w:val="22"/>
        </w:rPr>
        <w:t>30-A M.R.S. §§ 4364, 4364-A, 4364-B.</w:t>
      </w:r>
    </w:p>
    <w:p w14:paraId="636B30A2" w14:textId="77777777"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1639B22E" w:rsidR="0068555E"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t>April 18, 2023 – filing 2023-056</w:t>
      </w:r>
    </w:p>
    <w:p w14:paraId="3E755D50" w14:textId="1C783F2F"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3B7B70BC" w14:textId="02562E7A" w:rsidR="002E090F"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 xml:space="preserve">AMENDED </w:t>
      </w:r>
    </w:p>
    <w:p w14:paraId="74FF73D1" w14:textId="44396F2D" w:rsidR="002E090F" w:rsidRDefault="002E090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October 1, 2023—filing 2023-</w:t>
      </w:r>
      <w:r w:rsidR="0048278E">
        <w:rPr>
          <w:rFonts w:ascii="Times New Roman" w:hAnsi="Times New Roman"/>
          <w:sz w:val="22"/>
          <w:szCs w:val="22"/>
        </w:rPr>
        <w:t>181</w:t>
      </w:r>
    </w:p>
    <w:p w14:paraId="64353DE2" w14:textId="58692FF1"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1151DB" w14:textId="0660CF23" w:rsidR="00F034F0" w:rsidRPr="00886C38"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48278E" w:rsidP="006061AB">
            <w:pPr>
              <w:jc w:val="center"/>
              <w:rPr>
                <w:rFonts w:ascii="Times New Roman" w:hAnsi="Times New Roman"/>
                <w:sz w:val="22"/>
                <w:szCs w:val="22"/>
              </w:rPr>
            </w:pPr>
            <w:hyperlink r:id="rId8" w:history="1">
              <w:r w:rsidR="00A65ACD" w:rsidRPr="00203B62">
                <w:rPr>
                  <w:rStyle w:val="Hyperlink"/>
                  <w:rFonts w:ascii="Times New Roman" w:hAnsi="Times New Roman"/>
                  <w:sz w:val="22"/>
                  <w:szCs w:val="22"/>
                </w:rPr>
                <w:t>webmaster_house@legislature.maine.gov</w:t>
              </w:r>
            </w:hyperlink>
            <w:r w:rsidR="00A65ACD">
              <w:rPr>
                <w:rFonts w:ascii="Times New Roman" w:hAnsi="Times New Roman"/>
                <w:sz w:val="22"/>
                <w:szCs w:val="22"/>
              </w:rPr>
              <w:t xml:space="preserve"> </w:t>
            </w:r>
          </w:p>
        </w:tc>
      </w:tr>
      <w:tr w:rsidR="00721E34" w:rsidRPr="006061AB" w14:paraId="3310BA3B" w14:textId="77777777" w:rsidTr="003F2C43">
        <w:trPr>
          <w:trHeight w:val="1673"/>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CAF" w14:textId="77777777" w:rsidR="00FC1932" w:rsidRDefault="00FC1932">
      <w:pPr>
        <w:widowControl/>
        <w:spacing w:line="20" w:lineRule="exact"/>
      </w:pPr>
    </w:p>
  </w:endnote>
  <w:endnote w:type="continuationSeparator" w:id="0">
    <w:p w14:paraId="4A0FD7EB" w14:textId="77777777" w:rsidR="00FC1932" w:rsidRDefault="00FC1932">
      <w:r>
        <w:t xml:space="preserve"> </w:t>
      </w:r>
    </w:p>
  </w:endnote>
  <w:endnote w:type="continuationNotice" w:id="1">
    <w:p w14:paraId="6107D098" w14:textId="77777777" w:rsidR="00FC1932" w:rsidRDefault="00FC1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33AD" w14:textId="77777777" w:rsidR="00FC1932" w:rsidRDefault="00FC1932">
      <w:r>
        <w:separator/>
      </w:r>
    </w:p>
  </w:footnote>
  <w:footnote w:type="continuationSeparator" w:id="0">
    <w:p w14:paraId="3BC92FC8" w14:textId="77777777" w:rsidR="00FC1932" w:rsidRDefault="00FC1932">
      <w:r>
        <w:continuationSeparator/>
      </w:r>
    </w:p>
  </w:footnote>
  <w:footnote w:type="continuationNotice" w:id="1">
    <w:p w14:paraId="6026B7ED" w14:textId="77777777" w:rsidR="00FC1932" w:rsidRDefault="00FC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C6259"/>
    <w:multiLevelType w:val="hybridMultilevel"/>
    <w:tmpl w:val="FBA8F8B4"/>
    <w:lvl w:ilvl="0" w:tplc="5A2A53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E44022"/>
    <w:multiLevelType w:val="hybridMultilevel"/>
    <w:tmpl w:val="AFA03C94"/>
    <w:lvl w:ilvl="0" w:tplc="AF0E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46D1A51"/>
    <w:multiLevelType w:val="hybridMultilevel"/>
    <w:tmpl w:val="525E5232"/>
    <w:lvl w:ilvl="0" w:tplc="FA6A591E">
      <w:start w:val="1"/>
      <w:numFmt w:val="decimal"/>
      <w:lvlText w:val="(%1)"/>
      <w:lvlJc w:val="left"/>
      <w:pPr>
        <w:ind w:left="720" w:hanging="360"/>
      </w:pPr>
      <w:rPr>
        <w:rFonts w:ascii="Arial" w:hAnsi="Arial" w:cs="Arial"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365DBD"/>
    <w:multiLevelType w:val="hybridMultilevel"/>
    <w:tmpl w:val="85D6C3AA"/>
    <w:lvl w:ilvl="0" w:tplc="FFFFFFFF">
      <w:start w:val="1"/>
      <w:numFmt w:val="decimal"/>
      <w:lvlText w:val="%1."/>
      <w:lvlJc w:val="left"/>
      <w:pPr>
        <w:ind w:left="18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3"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61328669">
    <w:abstractNumId w:val="32"/>
  </w:num>
  <w:num w:numId="2" w16cid:durableId="1779715207">
    <w:abstractNumId w:val="18"/>
  </w:num>
  <w:num w:numId="3" w16cid:durableId="1806924116">
    <w:abstractNumId w:val="24"/>
  </w:num>
  <w:num w:numId="4" w16cid:durableId="675769670">
    <w:abstractNumId w:val="25"/>
  </w:num>
  <w:num w:numId="5" w16cid:durableId="1248998543">
    <w:abstractNumId w:val="6"/>
  </w:num>
  <w:num w:numId="6" w16cid:durableId="549152062">
    <w:abstractNumId w:val="34"/>
  </w:num>
  <w:num w:numId="7" w16cid:durableId="1104955096">
    <w:abstractNumId w:val="0"/>
  </w:num>
  <w:num w:numId="8" w16cid:durableId="2105370383">
    <w:abstractNumId w:val="17"/>
  </w:num>
  <w:num w:numId="9" w16cid:durableId="283855216">
    <w:abstractNumId w:val="31"/>
  </w:num>
  <w:num w:numId="10" w16cid:durableId="2067993344">
    <w:abstractNumId w:val="5"/>
  </w:num>
  <w:num w:numId="11" w16cid:durableId="1061713771">
    <w:abstractNumId w:val="29"/>
  </w:num>
  <w:num w:numId="12" w16cid:durableId="878787511">
    <w:abstractNumId w:val="11"/>
  </w:num>
  <w:num w:numId="13" w16cid:durableId="755203260">
    <w:abstractNumId w:val="30"/>
  </w:num>
  <w:num w:numId="14" w16cid:durableId="1408500592">
    <w:abstractNumId w:val="15"/>
  </w:num>
  <w:num w:numId="15" w16cid:durableId="567375909">
    <w:abstractNumId w:val="16"/>
  </w:num>
  <w:num w:numId="16" w16cid:durableId="285431917">
    <w:abstractNumId w:val="26"/>
  </w:num>
  <w:num w:numId="17" w16cid:durableId="516189614">
    <w:abstractNumId w:val="12"/>
  </w:num>
  <w:num w:numId="18" w16cid:durableId="829709799">
    <w:abstractNumId w:val="21"/>
  </w:num>
  <w:num w:numId="19" w16cid:durableId="112097833">
    <w:abstractNumId w:val="33"/>
  </w:num>
  <w:num w:numId="20" w16cid:durableId="528377933">
    <w:abstractNumId w:val="27"/>
  </w:num>
  <w:num w:numId="21" w16cid:durableId="1857769474">
    <w:abstractNumId w:val="22"/>
  </w:num>
  <w:num w:numId="22" w16cid:durableId="1612085837">
    <w:abstractNumId w:val="14"/>
  </w:num>
  <w:num w:numId="23" w16cid:durableId="1304776117">
    <w:abstractNumId w:val="8"/>
  </w:num>
  <w:num w:numId="24" w16cid:durableId="253439008">
    <w:abstractNumId w:val="13"/>
  </w:num>
  <w:num w:numId="25" w16cid:durableId="349378194">
    <w:abstractNumId w:val="23"/>
  </w:num>
  <w:num w:numId="26" w16cid:durableId="1618027662">
    <w:abstractNumId w:val="19"/>
  </w:num>
  <w:num w:numId="27" w16cid:durableId="808673272">
    <w:abstractNumId w:val="2"/>
  </w:num>
  <w:num w:numId="28" w16cid:durableId="981154485">
    <w:abstractNumId w:val="7"/>
  </w:num>
  <w:num w:numId="29" w16cid:durableId="972252037">
    <w:abstractNumId w:val="4"/>
  </w:num>
  <w:num w:numId="30" w16cid:durableId="368846975">
    <w:abstractNumId w:val="35"/>
  </w:num>
  <w:num w:numId="31" w16cid:durableId="535626041">
    <w:abstractNumId w:val="20"/>
  </w:num>
  <w:num w:numId="32" w16cid:durableId="1667708995">
    <w:abstractNumId w:val="28"/>
  </w:num>
  <w:num w:numId="33" w16cid:durableId="137647106">
    <w:abstractNumId w:val="10"/>
  </w:num>
  <w:num w:numId="34" w16cid:durableId="150221538">
    <w:abstractNumId w:val="3"/>
  </w:num>
  <w:num w:numId="35" w16cid:durableId="2111656255">
    <w:abstractNumId w:val="1"/>
  </w:num>
  <w:num w:numId="36" w16cid:durableId="100555006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12C7"/>
    <w:rsid w:val="00043AF5"/>
    <w:rsid w:val="00051A93"/>
    <w:rsid w:val="000539FC"/>
    <w:rsid w:val="00056719"/>
    <w:rsid w:val="00057A5D"/>
    <w:rsid w:val="000637CA"/>
    <w:rsid w:val="00063EFA"/>
    <w:rsid w:val="00067C00"/>
    <w:rsid w:val="00081875"/>
    <w:rsid w:val="0008429E"/>
    <w:rsid w:val="00087F71"/>
    <w:rsid w:val="000A1E0A"/>
    <w:rsid w:val="000A3736"/>
    <w:rsid w:val="000A7FD7"/>
    <w:rsid w:val="000D3690"/>
    <w:rsid w:val="000D4A21"/>
    <w:rsid w:val="000E462D"/>
    <w:rsid w:val="000E5501"/>
    <w:rsid w:val="000F33E3"/>
    <w:rsid w:val="00100C2B"/>
    <w:rsid w:val="0010539F"/>
    <w:rsid w:val="00124B62"/>
    <w:rsid w:val="0013196F"/>
    <w:rsid w:val="001323AB"/>
    <w:rsid w:val="001331C8"/>
    <w:rsid w:val="001331EB"/>
    <w:rsid w:val="00144D3A"/>
    <w:rsid w:val="00151AB4"/>
    <w:rsid w:val="00164102"/>
    <w:rsid w:val="00164E94"/>
    <w:rsid w:val="00167556"/>
    <w:rsid w:val="00169E2F"/>
    <w:rsid w:val="0017196C"/>
    <w:rsid w:val="00171CC7"/>
    <w:rsid w:val="0018646E"/>
    <w:rsid w:val="001906A2"/>
    <w:rsid w:val="00193C66"/>
    <w:rsid w:val="00194EA2"/>
    <w:rsid w:val="001953A6"/>
    <w:rsid w:val="00195D9D"/>
    <w:rsid w:val="001B2669"/>
    <w:rsid w:val="001B5757"/>
    <w:rsid w:val="001B6DF4"/>
    <w:rsid w:val="001C3438"/>
    <w:rsid w:val="001D6388"/>
    <w:rsid w:val="001F1C9D"/>
    <w:rsid w:val="001F2332"/>
    <w:rsid w:val="001F480B"/>
    <w:rsid w:val="00205B4A"/>
    <w:rsid w:val="0021095A"/>
    <w:rsid w:val="002131D7"/>
    <w:rsid w:val="00214F06"/>
    <w:rsid w:val="00222094"/>
    <w:rsid w:val="00231ECE"/>
    <w:rsid w:val="0023750A"/>
    <w:rsid w:val="0024B6C7"/>
    <w:rsid w:val="0027045A"/>
    <w:rsid w:val="00277142"/>
    <w:rsid w:val="002841A2"/>
    <w:rsid w:val="002B24FD"/>
    <w:rsid w:val="002B4453"/>
    <w:rsid w:val="002C1B5D"/>
    <w:rsid w:val="002CFADF"/>
    <w:rsid w:val="002D4C12"/>
    <w:rsid w:val="002E090F"/>
    <w:rsid w:val="002E23DD"/>
    <w:rsid w:val="002E481B"/>
    <w:rsid w:val="002E52DA"/>
    <w:rsid w:val="002F331F"/>
    <w:rsid w:val="002F4057"/>
    <w:rsid w:val="002F4E3A"/>
    <w:rsid w:val="002F793C"/>
    <w:rsid w:val="00303AE4"/>
    <w:rsid w:val="00305B38"/>
    <w:rsid w:val="0030B7AD"/>
    <w:rsid w:val="0031635A"/>
    <w:rsid w:val="00317989"/>
    <w:rsid w:val="00317C1F"/>
    <w:rsid w:val="00352814"/>
    <w:rsid w:val="0035562C"/>
    <w:rsid w:val="00357143"/>
    <w:rsid w:val="00357F7F"/>
    <w:rsid w:val="00366B47"/>
    <w:rsid w:val="00373C0D"/>
    <w:rsid w:val="00376827"/>
    <w:rsid w:val="00376BE5"/>
    <w:rsid w:val="003907DA"/>
    <w:rsid w:val="003A72D4"/>
    <w:rsid w:val="003A97F6"/>
    <w:rsid w:val="003B3B18"/>
    <w:rsid w:val="003C78BC"/>
    <w:rsid w:val="003D4935"/>
    <w:rsid w:val="003F2317"/>
    <w:rsid w:val="003F2C43"/>
    <w:rsid w:val="003F64B6"/>
    <w:rsid w:val="004040A9"/>
    <w:rsid w:val="0043718C"/>
    <w:rsid w:val="0044118E"/>
    <w:rsid w:val="004449F6"/>
    <w:rsid w:val="00461153"/>
    <w:rsid w:val="00461286"/>
    <w:rsid w:val="00461C4F"/>
    <w:rsid w:val="00470C72"/>
    <w:rsid w:val="00472A9A"/>
    <w:rsid w:val="004768BA"/>
    <w:rsid w:val="0048278E"/>
    <w:rsid w:val="0049211B"/>
    <w:rsid w:val="00496C21"/>
    <w:rsid w:val="004A4EED"/>
    <w:rsid w:val="004B06BF"/>
    <w:rsid w:val="004B1D04"/>
    <w:rsid w:val="004B2509"/>
    <w:rsid w:val="004B68FE"/>
    <w:rsid w:val="004D242E"/>
    <w:rsid w:val="004D31E5"/>
    <w:rsid w:val="004F5837"/>
    <w:rsid w:val="005072BC"/>
    <w:rsid w:val="00512320"/>
    <w:rsid w:val="00512475"/>
    <w:rsid w:val="00514D0F"/>
    <w:rsid w:val="0052497B"/>
    <w:rsid w:val="00532A8E"/>
    <w:rsid w:val="005455D3"/>
    <w:rsid w:val="005505F7"/>
    <w:rsid w:val="00573F14"/>
    <w:rsid w:val="0058501D"/>
    <w:rsid w:val="005861AF"/>
    <w:rsid w:val="005893DF"/>
    <w:rsid w:val="005C6A85"/>
    <w:rsid w:val="005D7A2C"/>
    <w:rsid w:val="005E69C0"/>
    <w:rsid w:val="005F5A76"/>
    <w:rsid w:val="005F79CE"/>
    <w:rsid w:val="006061AB"/>
    <w:rsid w:val="00606A8F"/>
    <w:rsid w:val="00616039"/>
    <w:rsid w:val="00635817"/>
    <w:rsid w:val="0064526E"/>
    <w:rsid w:val="00645BB0"/>
    <w:rsid w:val="00657170"/>
    <w:rsid w:val="00666AF9"/>
    <w:rsid w:val="006703F5"/>
    <w:rsid w:val="00677B60"/>
    <w:rsid w:val="0068555E"/>
    <w:rsid w:val="00697B30"/>
    <w:rsid w:val="006B7488"/>
    <w:rsid w:val="006C6584"/>
    <w:rsid w:val="006C6F93"/>
    <w:rsid w:val="006D4B6C"/>
    <w:rsid w:val="006E0B31"/>
    <w:rsid w:val="006E2DD9"/>
    <w:rsid w:val="006F6B1E"/>
    <w:rsid w:val="007034C2"/>
    <w:rsid w:val="007046E0"/>
    <w:rsid w:val="00719062"/>
    <w:rsid w:val="00721E34"/>
    <w:rsid w:val="00723034"/>
    <w:rsid w:val="0072324D"/>
    <w:rsid w:val="007305B7"/>
    <w:rsid w:val="0074337E"/>
    <w:rsid w:val="00756A48"/>
    <w:rsid w:val="007659E8"/>
    <w:rsid w:val="0076743C"/>
    <w:rsid w:val="00783B48"/>
    <w:rsid w:val="007914B8"/>
    <w:rsid w:val="0079511A"/>
    <w:rsid w:val="007A4281"/>
    <w:rsid w:val="007A6423"/>
    <w:rsid w:val="007A72FD"/>
    <w:rsid w:val="007C35A6"/>
    <w:rsid w:val="007E2963"/>
    <w:rsid w:val="007E5A10"/>
    <w:rsid w:val="007F4FED"/>
    <w:rsid w:val="008010D9"/>
    <w:rsid w:val="00802F74"/>
    <w:rsid w:val="00807034"/>
    <w:rsid w:val="00832786"/>
    <w:rsid w:val="008451D7"/>
    <w:rsid w:val="0085192F"/>
    <w:rsid w:val="008568D5"/>
    <w:rsid w:val="00875596"/>
    <w:rsid w:val="00886C38"/>
    <w:rsid w:val="00887712"/>
    <w:rsid w:val="00895E75"/>
    <w:rsid w:val="00896246"/>
    <w:rsid w:val="008A1295"/>
    <w:rsid w:val="008A2AA9"/>
    <w:rsid w:val="008D1BBD"/>
    <w:rsid w:val="008E0503"/>
    <w:rsid w:val="008E1B0C"/>
    <w:rsid w:val="008F40E1"/>
    <w:rsid w:val="00912915"/>
    <w:rsid w:val="00916665"/>
    <w:rsid w:val="0091EF3D"/>
    <w:rsid w:val="0093624D"/>
    <w:rsid w:val="0094504A"/>
    <w:rsid w:val="00961F9F"/>
    <w:rsid w:val="00973CEE"/>
    <w:rsid w:val="009857C1"/>
    <w:rsid w:val="00990447"/>
    <w:rsid w:val="009929E9"/>
    <w:rsid w:val="00995CA2"/>
    <w:rsid w:val="009A5027"/>
    <w:rsid w:val="009A64F6"/>
    <w:rsid w:val="009A87C0"/>
    <w:rsid w:val="009B0FEA"/>
    <w:rsid w:val="009BC79C"/>
    <w:rsid w:val="009C1D85"/>
    <w:rsid w:val="009C2C46"/>
    <w:rsid w:val="009D2456"/>
    <w:rsid w:val="009DF165"/>
    <w:rsid w:val="00A003DE"/>
    <w:rsid w:val="00A20372"/>
    <w:rsid w:val="00A23A60"/>
    <w:rsid w:val="00A31C20"/>
    <w:rsid w:val="00A401AB"/>
    <w:rsid w:val="00A453EB"/>
    <w:rsid w:val="00A64A92"/>
    <w:rsid w:val="00A65676"/>
    <w:rsid w:val="00A65ACD"/>
    <w:rsid w:val="00A703BC"/>
    <w:rsid w:val="00A8253C"/>
    <w:rsid w:val="00A843F6"/>
    <w:rsid w:val="00A90FD5"/>
    <w:rsid w:val="00A96394"/>
    <w:rsid w:val="00AB0B6E"/>
    <w:rsid w:val="00AB4892"/>
    <w:rsid w:val="00AD7F64"/>
    <w:rsid w:val="00AF2FE4"/>
    <w:rsid w:val="00AF6CC8"/>
    <w:rsid w:val="00B05A68"/>
    <w:rsid w:val="00B09D0C"/>
    <w:rsid w:val="00B3071C"/>
    <w:rsid w:val="00B427CF"/>
    <w:rsid w:val="00B42D86"/>
    <w:rsid w:val="00B635A7"/>
    <w:rsid w:val="00B6585E"/>
    <w:rsid w:val="00B91B88"/>
    <w:rsid w:val="00B94621"/>
    <w:rsid w:val="00BA47F4"/>
    <w:rsid w:val="00BC3893"/>
    <w:rsid w:val="00BD442B"/>
    <w:rsid w:val="00BE5F7C"/>
    <w:rsid w:val="00BE71B0"/>
    <w:rsid w:val="00BE7A3B"/>
    <w:rsid w:val="00BF0ADB"/>
    <w:rsid w:val="00BF0D43"/>
    <w:rsid w:val="00BF0E3C"/>
    <w:rsid w:val="00C008EA"/>
    <w:rsid w:val="00C00F5C"/>
    <w:rsid w:val="00C201FB"/>
    <w:rsid w:val="00C37E4C"/>
    <w:rsid w:val="00C405CD"/>
    <w:rsid w:val="00C52A9D"/>
    <w:rsid w:val="00C5583D"/>
    <w:rsid w:val="00C577F5"/>
    <w:rsid w:val="00C66C4C"/>
    <w:rsid w:val="00C757FC"/>
    <w:rsid w:val="00C75C5B"/>
    <w:rsid w:val="00C807BB"/>
    <w:rsid w:val="00C82491"/>
    <w:rsid w:val="00C87CDB"/>
    <w:rsid w:val="00C95104"/>
    <w:rsid w:val="00CA0763"/>
    <w:rsid w:val="00CA38F3"/>
    <w:rsid w:val="00CB2AC9"/>
    <w:rsid w:val="00CB451C"/>
    <w:rsid w:val="00CB555B"/>
    <w:rsid w:val="00CC063F"/>
    <w:rsid w:val="00CC25C1"/>
    <w:rsid w:val="00CD3D5B"/>
    <w:rsid w:val="00CE1654"/>
    <w:rsid w:val="00CF0583"/>
    <w:rsid w:val="00CF0732"/>
    <w:rsid w:val="00CF1BEE"/>
    <w:rsid w:val="00CF6FA4"/>
    <w:rsid w:val="00D12298"/>
    <w:rsid w:val="00D166E2"/>
    <w:rsid w:val="00D20E35"/>
    <w:rsid w:val="00D21494"/>
    <w:rsid w:val="00D224DC"/>
    <w:rsid w:val="00D23112"/>
    <w:rsid w:val="00D328B0"/>
    <w:rsid w:val="00D33FEB"/>
    <w:rsid w:val="00D537E1"/>
    <w:rsid w:val="00D73EFA"/>
    <w:rsid w:val="00D826E6"/>
    <w:rsid w:val="00D91043"/>
    <w:rsid w:val="00D9207A"/>
    <w:rsid w:val="00DA23BE"/>
    <w:rsid w:val="00DD6246"/>
    <w:rsid w:val="00DD7791"/>
    <w:rsid w:val="00DE0F4E"/>
    <w:rsid w:val="00DE5533"/>
    <w:rsid w:val="00DF4916"/>
    <w:rsid w:val="00E059B6"/>
    <w:rsid w:val="00E098C3"/>
    <w:rsid w:val="00E248D6"/>
    <w:rsid w:val="00E2B82E"/>
    <w:rsid w:val="00E30A24"/>
    <w:rsid w:val="00E354DA"/>
    <w:rsid w:val="00E40675"/>
    <w:rsid w:val="00E4283C"/>
    <w:rsid w:val="00E44CDC"/>
    <w:rsid w:val="00E544B5"/>
    <w:rsid w:val="00E55EC1"/>
    <w:rsid w:val="00E62670"/>
    <w:rsid w:val="00E63352"/>
    <w:rsid w:val="00E6679F"/>
    <w:rsid w:val="00E73EC2"/>
    <w:rsid w:val="00E74673"/>
    <w:rsid w:val="00E74D90"/>
    <w:rsid w:val="00E81EE3"/>
    <w:rsid w:val="00E939D7"/>
    <w:rsid w:val="00E942F0"/>
    <w:rsid w:val="00E97357"/>
    <w:rsid w:val="00EA0C0B"/>
    <w:rsid w:val="00EC10D2"/>
    <w:rsid w:val="00EC5725"/>
    <w:rsid w:val="00EC7EED"/>
    <w:rsid w:val="00ED1BA9"/>
    <w:rsid w:val="00ED65D3"/>
    <w:rsid w:val="00ED662E"/>
    <w:rsid w:val="00EE6586"/>
    <w:rsid w:val="00EF3E9B"/>
    <w:rsid w:val="00F0045D"/>
    <w:rsid w:val="00F034F0"/>
    <w:rsid w:val="00F06C41"/>
    <w:rsid w:val="00F15831"/>
    <w:rsid w:val="00F20CC4"/>
    <w:rsid w:val="00F42ABE"/>
    <w:rsid w:val="00F42BDA"/>
    <w:rsid w:val="00F44083"/>
    <w:rsid w:val="00F5721C"/>
    <w:rsid w:val="00F70C9A"/>
    <w:rsid w:val="00F72C6C"/>
    <w:rsid w:val="00F72E13"/>
    <w:rsid w:val="00F76723"/>
    <w:rsid w:val="00F77574"/>
    <w:rsid w:val="00F80E88"/>
    <w:rsid w:val="00F81286"/>
    <w:rsid w:val="00F855CE"/>
    <w:rsid w:val="00F9380B"/>
    <w:rsid w:val="00F967D2"/>
    <w:rsid w:val="00F97390"/>
    <w:rsid w:val="00FA0C59"/>
    <w:rsid w:val="00FC1932"/>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06AD64"/>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65EC9"/>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CD0F8E"/>
    <w:rsid w:val="04D7E5FC"/>
    <w:rsid w:val="04D97DA7"/>
    <w:rsid w:val="05189CC0"/>
    <w:rsid w:val="051D703F"/>
    <w:rsid w:val="05307588"/>
    <w:rsid w:val="053E41F4"/>
    <w:rsid w:val="054C9B5E"/>
    <w:rsid w:val="0580F641"/>
    <w:rsid w:val="0584B2BE"/>
    <w:rsid w:val="058582A4"/>
    <w:rsid w:val="05899CA6"/>
    <w:rsid w:val="059BF473"/>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7D52C"/>
    <w:rsid w:val="067FF4CD"/>
    <w:rsid w:val="06898D05"/>
    <w:rsid w:val="069B612E"/>
    <w:rsid w:val="06A01B86"/>
    <w:rsid w:val="06A95A5B"/>
    <w:rsid w:val="06B93F80"/>
    <w:rsid w:val="06C25DB6"/>
    <w:rsid w:val="06C4FBE0"/>
    <w:rsid w:val="06C95C96"/>
    <w:rsid w:val="06D7958F"/>
    <w:rsid w:val="070A32ED"/>
    <w:rsid w:val="07194B8B"/>
    <w:rsid w:val="071ED64E"/>
    <w:rsid w:val="0726F524"/>
    <w:rsid w:val="072ACD89"/>
    <w:rsid w:val="072B95DE"/>
    <w:rsid w:val="072F56AA"/>
    <w:rsid w:val="0730A3FD"/>
    <w:rsid w:val="0741C79C"/>
    <w:rsid w:val="074B5C22"/>
    <w:rsid w:val="07519878"/>
    <w:rsid w:val="07587C45"/>
    <w:rsid w:val="0761CF4A"/>
    <w:rsid w:val="0765808A"/>
    <w:rsid w:val="0768F2AA"/>
    <w:rsid w:val="0788A770"/>
    <w:rsid w:val="07A47BB4"/>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B82AE"/>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D6B680"/>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7B1D69"/>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21EB7"/>
    <w:rsid w:val="0E162BED"/>
    <w:rsid w:val="0E24A320"/>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2DA8A"/>
    <w:rsid w:val="0F442333"/>
    <w:rsid w:val="0F466750"/>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CE70B6"/>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265AB"/>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3D9BCE"/>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0149D8"/>
    <w:rsid w:val="15370476"/>
    <w:rsid w:val="153EF870"/>
    <w:rsid w:val="1549298C"/>
    <w:rsid w:val="15679693"/>
    <w:rsid w:val="156EE10E"/>
    <w:rsid w:val="156F910C"/>
    <w:rsid w:val="1572DD6B"/>
    <w:rsid w:val="1580B9F6"/>
    <w:rsid w:val="158F7675"/>
    <w:rsid w:val="159F8FFD"/>
    <w:rsid w:val="15AF4984"/>
    <w:rsid w:val="15B524F0"/>
    <w:rsid w:val="15BACE89"/>
    <w:rsid w:val="15C02439"/>
    <w:rsid w:val="15CC9947"/>
    <w:rsid w:val="15CF0AF3"/>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69440"/>
    <w:rsid w:val="173A4B31"/>
    <w:rsid w:val="1751D36D"/>
    <w:rsid w:val="17567E82"/>
    <w:rsid w:val="1763E5C6"/>
    <w:rsid w:val="1766C9E9"/>
    <w:rsid w:val="17A48DB1"/>
    <w:rsid w:val="17C6E41E"/>
    <w:rsid w:val="17D81B62"/>
    <w:rsid w:val="17DFC65A"/>
    <w:rsid w:val="17E2CED0"/>
    <w:rsid w:val="180010A4"/>
    <w:rsid w:val="180A6931"/>
    <w:rsid w:val="180F94AE"/>
    <w:rsid w:val="18128A49"/>
    <w:rsid w:val="183E9661"/>
    <w:rsid w:val="183FFD1C"/>
    <w:rsid w:val="184A0160"/>
    <w:rsid w:val="184ABDE3"/>
    <w:rsid w:val="18556233"/>
    <w:rsid w:val="185C8683"/>
    <w:rsid w:val="1880BDB6"/>
    <w:rsid w:val="188D0D48"/>
    <w:rsid w:val="189F2830"/>
    <w:rsid w:val="189F3755"/>
    <w:rsid w:val="18AFBC73"/>
    <w:rsid w:val="18B7C88C"/>
    <w:rsid w:val="18BB01D9"/>
    <w:rsid w:val="18C314CF"/>
    <w:rsid w:val="18C7A53E"/>
    <w:rsid w:val="18D32D3C"/>
    <w:rsid w:val="18D40E77"/>
    <w:rsid w:val="18E1972E"/>
    <w:rsid w:val="18F0C901"/>
    <w:rsid w:val="190F31B6"/>
    <w:rsid w:val="191067BA"/>
    <w:rsid w:val="1910D070"/>
    <w:rsid w:val="191A00C1"/>
    <w:rsid w:val="191CFC9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5C71F2"/>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0C88"/>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63DD4"/>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1FF28341"/>
    <w:rsid w:val="200115A7"/>
    <w:rsid w:val="20104A1B"/>
    <w:rsid w:val="201E7AC5"/>
    <w:rsid w:val="202174C4"/>
    <w:rsid w:val="2024CC5E"/>
    <w:rsid w:val="20307980"/>
    <w:rsid w:val="20307FAF"/>
    <w:rsid w:val="20330EA5"/>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3A608"/>
    <w:rsid w:val="22299EF5"/>
    <w:rsid w:val="224F1909"/>
    <w:rsid w:val="225B415C"/>
    <w:rsid w:val="225BDC31"/>
    <w:rsid w:val="2260E725"/>
    <w:rsid w:val="2272191E"/>
    <w:rsid w:val="2283007F"/>
    <w:rsid w:val="22917FA6"/>
    <w:rsid w:val="22925CD7"/>
    <w:rsid w:val="22A69A18"/>
    <w:rsid w:val="22B68586"/>
    <w:rsid w:val="22CC6D23"/>
    <w:rsid w:val="22D448DD"/>
    <w:rsid w:val="230C8651"/>
    <w:rsid w:val="23141728"/>
    <w:rsid w:val="231594E6"/>
    <w:rsid w:val="231C05CB"/>
    <w:rsid w:val="232EA571"/>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AA66F"/>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B8B51"/>
    <w:rsid w:val="261C1C32"/>
    <w:rsid w:val="262B3769"/>
    <w:rsid w:val="26524E63"/>
    <w:rsid w:val="2652DAC6"/>
    <w:rsid w:val="266052F8"/>
    <w:rsid w:val="2663BD3B"/>
    <w:rsid w:val="267BE041"/>
    <w:rsid w:val="26AF14FF"/>
    <w:rsid w:val="26B1587E"/>
    <w:rsid w:val="26BA1531"/>
    <w:rsid w:val="26F22118"/>
    <w:rsid w:val="26F84794"/>
    <w:rsid w:val="26FB3304"/>
    <w:rsid w:val="27181E65"/>
    <w:rsid w:val="27226A00"/>
    <w:rsid w:val="2729B9DF"/>
    <w:rsid w:val="27348216"/>
    <w:rsid w:val="275B70D9"/>
    <w:rsid w:val="27673B0A"/>
    <w:rsid w:val="27751E98"/>
    <w:rsid w:val="27794ED9"/>
    <w:rsid w:val="2791C7DE"/>
    <w:rsid w:val="279606D7"/>
    <w:rsid w:val="27B898A1"/>
    <w:rsid w:val="27BBDB9B"/>
    <w:rsid w:val="27DB1F83"/>
    <w:rsid w:val="27DD70B5"/>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0530E"/>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342DE"/>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1338"/>
    <w:rsid w:val="2AC15EC8"/>
    <w:rsid w:val="2ACE195F"/>
    <w:rsid w:val="2ACE2998"/>
    <w:rsid w:val="2AD59DD0"/>
    <w:rsid w:val="2AE2D11C"/>
    <w:rsid w:val="2AF3DC5C"/>
    <w:rsid w:val="2AFA903F"/>
    <w:rsid w:val="2AFF17FF"/>
    <w:rsid w:val="2B208EF9"/>
    <w:rsid w:val="2B2107DF"/>
    <w:rsid w:val="2B23E3C9"/>
    <w:rsid w:val="2B3C9C20"/>
    <w:rsid w:val="2B729918"/>
    <w:rsid w:val="2B7A328F"/>
    <w:rsid w:val="2B899E34"/>
    <w:rsid w:val="2B8AEE77"/>
    <w:rsid w:val="2BB2C3CD"/>
    <w:rsid w:val="2BBB8533"/>
    <w:rsid w:val="2BC55D32"/>
    <w:rsid w:val="2BDF08FB"/>
    <w:rsid w:val="2BE06359"/>
    <w:rsid w:val="2BF13ACE"/>
    <w:rsid w:val="2BFE7094"/>
    <w:rsid w:val="2C0F15E3"/>
    <w:rsid w:val="2C18F7EB"/>
    <w:rsid w:val="2C24C998"/>
    <w:rsid w:val="2C281EC3"/>
    <w:rsid w:val="2C492BAF"/>
    <w:rsid w:val="2C55A83F"/>
    <w:rsid w:val="2C581CD7"/>
    <w:rsid w:val="2C59340C"/>
    <w:rsid w:val="2C5CDDC9"/>
    <w:rsid w:val="2C62F65C"/>
    <w:rsid w:val="2C6D5AE5"/>
    <w:rsid w:val="2C74DEDE"/>
    <w:rsid w:val="2C7A2976"/>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85060A"/>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03A2E"/>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7C81D0"/>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60F362"/>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CE4FB8"/>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80968"/>
    <w:rsid w:val="351B53CF"/>
    <w:rsid w:val="35225979"/>
    <w:rsid w:val="352FF0B0"/>
    <w:rsid w:val="35317068"/>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38782"/>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54428"/>
    <w:rsid w:val="36D8AA9A"/>
    <w:rsid w:val="36E7DBC5"/>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0A7A02"/>
    <w:rsid w:val="3827248E"/>
    <w:rsid w:val="383AF639"/>
    <w:rsid w:val="383E6900"/>
    <w:rsid w:val="384173F8"/>
    <w:rsid w:val="385010D1"/>
    <w:rsid w:val="3851EAD8"/>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8F899FF"/>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3A0E0"/>
    <w:rsid w:val="3A38830D"/>
    <w:rsid w:val="3A3BAB67"/>
    <w:rsid w:val="3A3E6E9A"/>
    <w:rsid w:val="3A412C4B"/>
    <w:rsid w:val="3A49CB1A"/>
    <w:rsid w:val="3A585705"/>
    <w:rsid w:val="3A61E013"/>
    <w:rsid w:val="3A624531"/>
    <w:rsid w:val="3A650C8D"/>
    <w:rsid w:val="3A6B3C34"/>
    <w:rsid w:val="3A80F04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8AAC28"/>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A8157"/>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88F9BC"/>
    <w:rsid w:val="40948E1F"/>
    <w:rsid w:val="409E3F2E"/>
    <w:rsid w:val="40A95CE9"/>
    <w:rsid w:val="40BD5DD9"/>
    <w:rsid w:val="40BEED6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11254"/>
    <w:rsid w:val="41FD37B4"/>
    <w:rsid w:val="42050FCB"/>
    <w:rsid w:val="4205B71B"/>
    <w:rsid w:val="423AA8D8"/>
    <w:rsid w:val="42452D4A"/>
    <w:rsid w:val="4251B864"/>
    <w:rsid w:val="425F1AB9"/>
    <w:rsid w:val="4262C8BD"/>
    <w:rsid w:val="4266020A"/>
    <w:rsid w:val="4271884A"/>
    <w:rsid w:val="4294AB12"/>
    <w:rsid w:val="4298F60D"/>
    <w:rsid w:val="429E74A1"/>
    <w:rsid w:val="42A49E6D"/>
    <w:rsid w:val="42A8E1A0"/>
    <w:rsid w:val="42ACDCFD"/>
    <w:rsid w:val="42AF5148"/>
    <w:rsid w:val="4319B87D"/>
    <w:rsid w:val="431FDB3B"/>
    <w:rsid w:val="433E53E4"/>
    <w:rsid w:val="435C8DD5"/>
    <w:rsid w:val="43632BCA"/>
    <w:rsid w:val="4371F4BF"/>
    <w:rsid w:val="43771C13"/>
    <w:rsid w:val="4380D071"/>
    <w:rsid w:val="4386521B"/>
    <w:rsid w:val="4395BE0D"/>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8B316"/>
    <w:rsid w:val="452F56D1"/>
    <w:rsid w:val="454F12F0"/>
    <w:rsid w:val="45555D60"/>
    <w:rsid w:val="45573A17"/>
    <w:rsid w:val="45610946"/>
    <w:rsid w:val="45699436"/>
    <w:rsid w:val="45713200"/>
    <w:rsid w:val="4575933C"/>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20EBEA"/>
    <w:rsid w:val="462A2CF5"/>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351EA"/>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67458"/>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486AF8"/>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9C583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93422"/>
    <w:rsid w:val="4E1A1A0F"/>
    <w:rsid w:val="4E2465A6"/>
    <w:rsid w:val="4E35DF63"/>
    <w:rsid w:val="4E36FFF1"/>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25598"/>
    <w:rsid w:val="502F6BB7"/>
    <w:rsid w:val="5032A82B"/>
    <w:rsid w:val="50485431"/>
    <w:rsid w:val="504908F1"/>
    <w:rsid w:val="505024D1"/>
    <w:rsid w:val="50609EEB"/>
    <w:rsid w:val="50668732"/>
    <w:rsid w:val="506A4DC3"/>
    <w:rsid w:val="5075A7B9"/>
    <w:rsid w:val="50809C87"/>
    <w:rsid w:val="50A65856"/>
    <w:rsid w:val="50AE4D55"/>
    <w:rsid w:val="50BF80B3"/>
    <w:rsid w:val="50D7A2A6"/>
    <w:rsid w:val="50DA2F70"/>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7D821B"/>
    <w:rsid w:val="5387C593"/>
    <w:rsid w:val="5398591A"/>
    <w:rsid w:val="539E91CF"/>
    <w:rsid w:val="53A97103"/>
    <w:rsid w:val="53AA4FFB"/>
    <w:rsid w:val="53C51CD0"/>
    <w:rsid w:val="53DF0FAA"/>
    <w:rsid w:val="53F12AF8"/>
    <w:rsid w:val="53FD43D2"/>
    <w:rsid w:val="5405A712"/>
    <w:rsid w:val="54109AA4"/>
    <w:rsid w:val="542101ED"/>
    <w:rsid w:val="54483AA1"/>
    <w:rsid w:val="544CCACE"/>
    <w:rsid w:val="545E0929"/>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9AFB88"/>
    <w:rsid w:val="55B1AFD8"/>
    <w:rsid w:val="55BB5474"/>
    <w:rsid w:val="55BE2D7D"/>
    <w:rsid w:val="55BECDB5"/>
    <w:rsid w:val="55C59259"/>
    <w:rsid w:val="55CD36AE"/>
    <w:rsid w:val="55CFE6E0"/>
    <w:rsid w:val="55E53F72"/>
    <w:rsid w:val="55EB95EC"/>
    <w:rsid w:val="5601200F"/>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BE9DAC"/>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AE16E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3B838A"/>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151DA0"/>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5F493"/>
    <w:rsid w:val="5D8A1348"/>
    <w:rsid w:val="5D9468EB"/>
    <w:rsid w:val="5D9ADBA6"/>
    <w:rsid w:val="5D9E8995"/>
    <w:rsid w:val="5DA2BE5C"/>
    <w:rsid w:val="5DA9C5A7"/>
    <w:rsid w:val="5DC5A317"/>
    <w:rsid w:val="5DC6EAFA"/>
    <w:rsid w:val="5DCA8F44"/>
    <w:rsid w:val="5DD8A43A"/>
    <w:rsid w:val="5DDDB5BA"/>
    <w:rsid w:val="5DE7967C"/>
    <w:rsid w:val="5DE820E8"/>
    <w:rsid w:val="5DF7C0E4"/>
    <w:rsid w:val="5DF9E97C"/>
    <w:rsid w:val="5E017994"/>
    <w:rsid w:val="5E19BC89"/>
    <w:rsid w:val="5E200EAB"/>
    <w:rsid w:val="5E218EA2"/>
    <w:rsid w:val="5E49A28D"/>
    <w:rsid w:val="5E6D0B07"/>
    <w:rsid w:val="5E85296B"/>
    <w:rsid w:val="5E8A5427"/>
    <w:rsid w:val="5E9637D5"/>
    <w:rsid w:val="5E9BBE06"/>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AD402F"/>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401F4F"/>
    <w:rsid w:val="6273BF0F"/>
    <w:rsid w:val="627FF6C8"/>
    <w:rsid w:val="62991E5C"/>
    <w:rsid w:val="62B135C4"/>
    <w:rsid w:val="62B5C4E8"/>
    <w:rsid w:val="62C916C8"/>
    <w:rsid w:val="62C9A7BB"/>
    <w:rsid w:val="62CE5125"/>
    <w:rsid w:val="62D33565"/>
    <w:rsid w:val="62D6CEAC"/>
    <w:rsid w:val="62DF326A"/>
    <w:rsid w:val="62E0B338"/>
    <w:rsid w:val="62E15A88"/>
    <w:rsid w:val="62E25637"/>
    <w:rsid w:val="62E5630D"/>
    <w:rsid w:val="62EB91E3"/>
    <w:rsid w:val="62FB6CB0"/>
    <w:rsid w:val="632976A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5512B"/>
    <w:rsid w:val="63EEB03A"/>
    <w:rsid w:val="63FA9DDE"/>
    <w:rsid w:val="6401F134"/>
    <w:rsid w:val="64162CFE"/>
    <w:rsid w:val="6417DD07"/>
    <w:rsid w:val="64180DFE"/>
    <w:rsid w:val="6419E0B3"/>
    <w:rsid w:val="641B67E8"/>
    <w:rsid w:val="643CE624"/>
    <w:rsid w:val="64410311"/>
    <w:rsid w:val="6447F895"/>
    <w:rsid w:val="64571691"/>
    <w:rsid w:val="64624D4F"/>
    <w:rsid w:val="646274B4"/>
    <w:rsid w:val="646A4328"/>
    <w:rsid w:val="646A74FE"/>
    <w:rsid w:val="646DB913"/>
    <w:rsid w:val="64701DE3"/>
    <w:rsid w:val="6475803D"/>
    <w:rsid w:val="647A9C82"/>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58608"/>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89D695"/>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47A75F"/>
    <w:rsid w:val="695912EC"/>
    <w:rsid w:val="6964B355"/>
    <w:rsid w:val="6976539F"/>
    <w:rsid w:val="698BF629"/>
    <w:rsid w:val="6991358F"/>
    <w:rsid w:val="69932E8C"/>
    <w:rsid w:val="6995DC51"/>
    <w:rsid w:val="69A8A7B3"/>
    <w:rsid w:val="69AB80E0"/>
    <w:rsid w:val="69B91EB3"/>
    <w:rsid w:val="69B98D7E"/>
    <w:rsid w:val="69C22D5B"/>
    <w:rsid w:val="69C60C7C"/>
    <w:rsid w:val="69DF7FBC"/>
    <w:rsid w:val="69DF93E0"/>
    <w:rsid w:val="69EE97B7"/>
    <w:rsid w:val="6A025D4C"/>
    <w:rsid w:val="6A06BC15"/>
    <w:rsid w:val="6A07B418"/>
    <w:rsid w:val="6A12BC46"/>
    <w:rsid w:val="6A14C6BA"/>
    <w:rsid w:val="6A219765"/>
    <w:rsid w:val="6A24BEAC"/>
    <w:rsid w:val="6A2574F6"/>
    <w:rsid w:val="6A2B7AC8"/>
    <w:rsid w:val="6A55DF13"/>
    <w:rsid w:val="6A6E3335"/>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7E87D6"/>
    <w:rsid w:val="6C81AAE4"/>
    <w:rsid w:val="6C9C6CF7"/>
    <w:rsid w:val="6CA8C375"/>
    <w:rsid w:val="6CCC9D3F"/>
    <w:rsid w:val="6CDF89B9"/>
    <w:rsid w:val="6CF42BEC"/>
    <w:rsid w:val="6D05DC00"/>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5BED73"/>
    <w:rsid w:val="6E8378C1"/>
    <w:rsid w:val="6E945893"/>
    <w:rsid w:val="6E9F76BA"/>
    <w:rsid w:val="6EB73672"/>
    <w:rsid w:val="6ECF883C"/>
    <w:rsid w:val="6EDEE76A"/>
    <w:rsid w:val="6EFB07BA"/>
    <w:rsid w:val="6F07EBA0"/>
    <w:rsid w:val="6F34032A"/>
    <w:rsid w:val="6F53CA28"/>
    <w:rsid w:val="6F59AE6B"/>
    <w:rsid w:val="6F5C923B"/>
    <w:rsid w:val="6F5E173C"/>
    <w:rsid w:val="6F66DC20"/>
    <w:rsid w:val="6F97043A"/>
    <w:rsid w:val="6FC20FA2"/>
    <w:rsid w:val="6FD375D7"/>
    <w:rsid w:val="6FDDA1FF"/>
    <w:rsid w:val="6FE84859"/>
    <w:rsid w:val="6FE92E9C"/>
    <w:rsid w:val="6FECFFB1"/>
    <w:rsid w:val="6FF0EFA4"/>
    <w:rsid w:val="6FF49F86"/>
    <w:rsid w:val="700E5431"/>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2B944"/>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9E2ACD"/>
    <w:rsid w:val="73A2E48B"/>
    <w:rsid w:val="73AA4409"/>
    <w:rsid w:val="73B0B974"/>
    <w:rsid w:val="73C49821"/>
    <w:rsid w:val="73CA1DA2"/>
    <w:rsid w:val="73DC158B"/>
    <w:rsid w:val="73E2F074"/>
    <w:rsid w:val="74010F16"/>
    <w:rsid w:val="741C4406"/>
    <w:rsid w:val="743894CB"/>
    <w:rsid w:val="7444F402"/>
    <w:rsid w:val="744545E5"/>
    <w:rsid w:val="7447221A"/>
    <w:rsid w:val="744D6643"/>
    <w:rsid w:val="7450949B"/>
    <w:rsid w:val="746D3FFC"/>
    <w:rsid w:val="74772ABD"/>
    <w:rsid w:val="747B021F"/>
    <w:rsid w:val="747B9BE6"/>
    <w:rsid w:val="74914952"/>
    <w:rsid w:val="749AACFD"/>
    <w:rsid w:val="749DD00E"/>
    <w:rsid w:val="74A4D02C"/>
    <w:rsid w:val="74B3F440"/>
    <w:rsid w:val="74B9CFF3"/>
    <w:rsid w:val="74BEA038"/>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24215"/>
    <w:rsid w:val="76F4F2CE"/>
    <w:rsid w:val="770CC10E"/>
    <w:rsid w:val="7720C17C"/>
    <w:rsid w:val="7723586F"/>
    <w:rsid w:val="7754D511"/>
    <w:rsid w:val="777F4616"/>
    <w:rsid w:val="778242B4"/>
    <w:rsid w:val="778EDDC8"/>
    <w:rsid w:val="7798D25A"/>
    <w:rsid w:val="77A4EDC2"/>
    <w:rsid w:val="77A5FEBA"/>
    <w:rsid w:val="77B8916F"/>
    <w:rsid w:val="77BA0E7C"/>
    <w:rsid w:val="77C0A92F"/>
    <w:rsid w:val="77E33762"/>
    <w:rsid w:val="77F774D9"/>
    <w:rsid w:val="77F8F798"/>
    <w:rsid w:val="78037483"/>
    <w:rsid w:val="780A0566"/>
    <w:rsid w:val="780B8CD3"/>
    <w:rsid w:val="78175A20"/>
    <w:rsid w:val="781AE7CE"/>
    <w:rsid w:val="78206D09"/>
    <w:rsid w:val="78257324"/>
    <w:rsid w:val="782BE7B9"/>
    <w:rsid w:val="783F851F"/>
    <w:rsid w:val="7857B6E0"/>
    <w:rsid w:val="785B9E17"/>
    <w:rsid w:val="786C979B"/>
    <w:rsid w:val="7879F46B"/>
    <w:rsid w:val="787ABFBF"/>
    <w:rsid w:val="788A51B5"/>
    <w:rsid w:val="788F618A"/>
    <w:rsid w:val="7890AD71"/>
    <w:rsid w:val="7896183A"/>
    <w:rsid w:val="789FC85F"/>
    <w:rsid w:val="78AFDC6D"/>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9DA9B"/>
    <w:rsid w:val="796CE07D"/>
    <w:rsid w:val="7979700E"/>
    <w:rsid w:val="797A62F5"/>
    <w:rsid w:val="797A8080"/>
    <w:rsid w:val="799F1F87"/>
    <w:rsid w:val="79A82AC3"/>
    <w:rsid w:val="79BAA3EE"/>
    <w:rsid w:val="79BC23EB"/>
    <w:rsid w:val="79CFE722"/>
    <w:rsid w:val="79D7F68B"/>
    <w:rsid w:val="79DCB4CC"/>
    <w:rsid w:val="79E89694"/>
    <w:rsid w:val="7A0C2818"/>
    <w:rsid w:val="7A123AE3"/>
    <w:rsid w:val="7A206147"/>
    <w:rsid w:val="7A47C79C"/>
    <w:rsid w:val="7A7A757F"/>
    <w:rsid w:val="7A7AE934"/>
    <w:rsid w:val="7A8A5F08"/>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EC18DE"/>
    <w:rsid w:val="7CF7DAAD"/>
    <w:rsid w:val="7CFBEA11"/>
    <w:rsid w:val="7D067D76"/>
    <w:rsid w:val="7D1496D1"/>
    <w:rsid w:val="7D28AA30"/>
    <w:rsid w:val="7D4C14E7"/>
    <w:rsid w:val="7D50C221"/>
    <w:rsid w:val="7D5266A9"/>
    <w:rsid w:val="7D5AE4C8"/>
    <w:rsid w:val="7D5BA578"/>
    <w:rsid w:val="7D620DE9"/>
    <w:rsid w:val="7D6DF913"/>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5147B"/>
    <w:rsid w:val="7E2CBF7C"/>
    <w:rsid w:val="7E308D89"/>
    <w:rsid w:val="7E378202"/>
    <w:rsid w:val="7E68055E"/>
    <w:rsid w:val="7E6AB218"/>
    <w:rsid w:val="7E73C488"/>
    <w:rsid w:val="7E91F923"/>
    <w:rsid w:val="7EBF5A70"/>
    <w:rsid w:val="7EC47A91"/>
    <w:rsid w:val="7ECF0CA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0E006"/>
    <w:rsid w:val="7F725A7F"/>
    <w:rsid w:val="7F78BC76"/>
    <w:rsid w:val="7F7F1829"/>
    <w:rsid w:val="7F7F5A30"/>
    <w:rsid w:val="7F90351A"/>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 w:type="character" w:styleId="Strong">
    <w:name w:val="Strong"/>
    <w:basedOn w:val="DefaultParagraphFont"/>
    <w:uiPriority w:val="22"/>
    <w:qFormat/>
    <w:rsid w:val="00A20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4775</Words>
  <Characters>26080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Gove, Hilary</cp:lastModifiedBy>
  <cp:revision>14</cp:revision>
  <cp:lastPrinted>2003-07-09T20:46:00Z</cp:lastPrinted>
  <dcterms:created xsi:type="dcterms:W3CDTF">2023-09-12T12:41:00Z</dcterms:created>
  <dcterms:modified xsi:type="dcterms:W3CDTF">2023-09-27T16:03:00Z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